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16F3" w14:textId="58D4DD2D" w:rsidR="00E83D65" w:rsidRPr="00070670" w:rsidRDefault="00E83D65" w:rsidP="00E83D65">
      <w:pPr>
        <w:jc w:val="center"/>
        <w:rPr>
          <w:rFonts w:ascii="Tw Cen MT" w:hAnsi="Tw Cen MT"/>
        </w:rPr>
      </w:pPr>
      <w:r w:rsidRPr="00070670">
        <w:rPr>
          <w:rFonts w:ascii="Tw Cen MT" w:eastAsia="Tw Cen MT" w:hAnsi="Tw Cen MT" w:cs="Tw Cen MT"/>
          <w:b/>
          <w:bCs/>
          <w:sz w:val="40"/>
          <w:szCs w:val="40"/>
        </w:rPr>
        <w:t xml:space="preserve">Initial Research to Set Up a Community Climate Liaison Program: </w:t>
      </w:r>
      <w:r w:rsidRPr="00070670">
        <w:rPr>
          <w:rFonts w:ascii="Tw Cen MT" w:eastAsia="Tw Cen MT" w:hAnsi="Tw Cen MT" w:cs="Tw Cen MT"/>
          <w:b/>
          <w:bCs/>
          <w:color w:val="C00000"/>
          <w:sz w:val="40"/>
          <w:szCs w:val="40"/>
        </w:rPr>
        <w:t>Template</w:t>
      </w:r>
    </w:p>
    <w:p w14:paraId="37C2A552" w14:textId="31A172C3" w:rsidR="007762B7" w:rsidRPr="00070670" w:rsidRDefault="007762B7" w:rsidP="00E83D65">
      <w:pPr>
        <w:rPr>
          <w:rFonts w:ascii="Tw Cen MT" w:eastAsia="Tw Cen MT" w:hAnsi="Tw Cen MT" w:cs="Tw Cen MT"/>
        </w:rPr>
      </w:pPr>
      <w:r w:rsidRPr="00070670">
        <w:rPr>
          <w:rFonts w:ascii="Tw Cen MT" w:eastAsia="Tw Cen MT" w:hAnsi="Tw Cen MT" w:cs="Tw Cen MT"/>
        </w:rPr>
        <w:t xml:space="preserve">This </w:t>
      </w:r>
      <w:r w:rsidRPr="00070670">
        <w:rPr>
          <w:rFonts w:ascii="Tw Cen MT" w:eastAsia="Tw Cen MT" w:hAnsi="Tw Cen MT" w:cs="Tw Cen MT"/>
          <w:b/>
          <w:bCs/>
        </w:rPr>
        <w:t>Template</w:t>
      </w:r>
      <w:r w:rsidRPr="00070670">
        <w:rPr>
          <w:rFonts w:ascii="Tw Cen MT" w:eastAsia="Tw Cen MT" w:hAnsi="Tw Cen MT" w:cs="Tw Cen MT"/>
        </w:rPr>
        <w:t xml:space="preserve"> is designed to guide program managers in conducting initial research to establish a community climate liaison program. </w:t>
      </w:r>
      <w:r w:rsidR="009F095C" w:rsidRPr="00070670">
        <w:rPr>
          <w:rFonts w:ascii="Tw Cen MT" w:eastAsia="Tw Cen MT" w:hAnsi="Tw Cen MT" w:cs="Tw Cen MT"/>
        </w:rPr>
        <w:t xml:space="preserve">This resource guides users on researching the following topics: </w:t>
      </w:r>
    </w:p>
    <w:p w14:paraId="67AB7D4C" w14:textId="77777777" w:rsidR="007762B7" w:rsidRPr="00070670" w:rsidRDefault="007762B7" w:rsidP="007762B7">
      <w:pPr>
        <w:pStyle w:val="ListParagraph"/>
        <w:numPr>
          <w:ilvl w:val="0"/>
          <w:numId w:val="4"/>
        </w:numPr>
        <w:spacing w:after="0"/>
        <w:rPr>
          <w:rFonts w:ascii="Tw Cen MT" w:eastAsia="Tw Cen MT" w:hAnsi="Tw Cen MT" w:cs="Tw Cen MT"/>
          <w:b/>
          <w:bCs/>
          <w:color w:val="4472C4" w:themeColor="accent1"/>
          <w:sz w:val="32"/>
          <w:szCs w:val="32"/>
        </w:rPr>
      </w:pPr>
      <w:r w:rsidRPr="00070670">
        <w:rPr>
          <w:rFonts w:ascii="Tw Cen MT" w:eastAsia="Tw Cen MT" w:hAnsi="Tw Cen MT" w:cs="Tw Cen MT"/>
          <w:b/>
          <w:bCs/>
          <w:color w:val="4472C4" w:themeColor="accent1"/>
          <w:sz w:val="32"/>
          <w:szCs w:val="32"/>
        </w:rPr>
        <w:t xml:space="preserve">Climate Hazards and Vulnerabilities </w:t>
      </w:r>
    </w:p>
    <w:p w14:paraId="38F2BB34" w14:textId="77777777" w:rsidR="007762B7" w:rsidRPr="00070670" w:rsidRDefault="007762B7" w:rsidP="007762B7">
      <w:pPr>
        <w:pStyle w:val="ListParagraph"/>
        <w:numPr>
          <w:ilvl w:val="0"/>
          <w:numId w:val="4"/>
        </w:numPr>
        <w:spacing w:after="0"/>
        <w:rPr>
          <w:rFonts w:ascii="Tw Cen MT" w:eastAsia="Tw Cen MT" w:hAnsi="Tw Cen MT" w:cs="Tw Cen MT"/>
          <w:b/>
          <w:bCs/>
          <w:color w:val="4472C4" w:themeColor="accent1"/>
          <w:sz w:val="32"/>
          <w:szCs w:val="32"/>
        </w:rPr>
      </w:pPr>
      <w:r w:rsidRPr="00070670">
        <w:rPr>
          <w:rFonts w:ascii="Tw Cen MT" w:eastAsia="Tw Cen MT" w:hAnsi="Tw Cen MT" w:cs="Tw Cen MT"/>
          <w:b/>
          <w:bCs/>
          <w:color w:val="4472C4" w:themeColor="accent1"/>
          <w:sz w:val="32"/>
          <w:szCs w:val="32"/>
        </w:rPr>
        <w:t>Climate Equity</w:t>
      </w:r>
    </w:p>
    <w:p w14:paraId="530497A0" w14:textId="77777777" w:rsidR="007762B7" w:rsidRPr="00070670" w:rsidRDefault="007762B7" w:rsidP="007762B7">
      <w:pPr>
        <w:pStyle w:val="ListParagraph"/>
        <w:numPr>
          <w:ilvl w:val="0"/>
          <w:numId w:val="4"/>
        </w:numPr>
        <w:spacing w:after="0"/>
        <w:rPr>
          <w:rFonts w:ascii="Tw Cen MT" w:eastAsia="Tw Cen MT" w:hAnsi="Tw Cen MT" w:cs="Tw Cen MT"/>
          <w:b/>
          <w:bCs/>
          <w:color w:val="4472C4" w:themeColor="accent1"/>
          <w:sz w:val="32"/>
          <w:szCs w:val="32"/>
        </w:rPr>
      </w:pPr>
      <w:r w:rsidRPr="00070670">
        <w:rPr>
          <w:rFonts w:ascii="Tw Cen MT" w:eastAsia="Tw Cen MT" w:hAnsi="Tw Cen MT" w:cs="Tw Cen MT"/>
          <w:b/>
          <w:bCs/>
          <w:color w:val="4472C4" w:themeColor="accent1"/>
          <w:sz w:val="32"/>
          <w:szCs w:val="32"/>
        </w:rPr>
        <w:t xml:space="preserve">Climate Readiness and Available Resources </w:t>
      </w:r>
    </w:p>
    <w:p w14:paraId="4CFCE129" w14:textId="056432DB" w:rsidR="007762B7" w:rsidRPr="00070670" w:rsidRDefault="009F095C" w:rsidP="00E83D65">
      <w:pPr>
        <w:rPr>
          <w:rFonts w:ascii="Tw Cen MT" w:eastAsia="Tw Cen MT" w:hAnsi="Tw Cen MT" w:cs="Tw Cen MT"/>
        </w:rPr>
      </w:pPr>
      <w:r w:rsidRPr="00070670">
        <w:rPr>
          <w:rFonts w:ascii="Tw Cen MT" w:eastAsia="Tw Cen MT" w:hAnsi="Tw Cen MT" w:cs="Tw Cen MT"/>
        </w:rPr>
        <w:t xml:space="preserve">The information gathered through this exercise helps to equip program managers with important insights to develop a well-informed and inclusive community liaison program that is tailored to their municipality’s unique needs. To see this template in action, explore the </w:t>
      </w:r>
      <w:commentRangeStart w:id="0"/>
      <w:r w:rsidRPr="00070670">
        <w:rPr>
          <w:rFonts w:ascii="Tw Cen MT" w:eastAsia="Tw Cen MT" w:hAnsi="Tw Cen MT" w:cs="Tw Cen MT"/>
          <w:highlight w:val="yellow"/>
        </w:rPr>
        <w:t>Cambridge case study</w:t>
      </w:r>
      <w:r w:rsidRPr="00070670">
        <w:rPr>
          <w:rFonts w:ascii="Tw Cen MT" w:eastAsia="Tw Cen MT" w:hAnsi="Tw Cen MT" w:cs="Tw Cen MT"/>
        </w:rPr>
        <w:t xml:space="preserve"> </w:t>
      </w:r>
      <w:commentRangeEnd w:id="0"/>
      <w:r w:rsidRPr="00070670">
        <w:rPr>
          <w:rStyle w:val="CommentReference"/>
          <w:rFonts w:ascii="Tw Cen MT" w:hAnsi="Tw Cen MT"/>
        </w:rPr>
        <w:commentReference w:id="0"/>
      </w:r>
      <w:r w:rsidRPr="00070670">
        <w:rPr>
          <w:rFonts w:ascii="Tw Cen MT" w:eastAsia="Tw Cen MT" w:hAnsi="Tw Cen MT" w:cs="Tw Cen MT"/>
        </w:rPr>
        <w:t xml:space="preserve">for a real-world example. </w:t>
      </w:r>
    </w:p>
    <w:p w14:paraId="26B5A02F" w14:textId="4142AF45" w:rsidR="00070670" w:rsidRPr="00070670" w:rsidRDefault="00265C86" w:rsidP="00265C86">
      <w:pPr>
        <w:rPr>
          <w:rFonts w:ascii="Tw Cen MT" w:hAnsi="Tw Cen MT"/>
        </w:rPr>
      </w:pPr>
      <w:r w:rsidRPr="00265C86">
        <w:rPr>
          <w:rFonts w:ascii="Tw Cen MT" w:hAnsi="Tw Cen MT"/>
        </w:rPr>
        <w:t xml:space="preserve">The information collected in this research exercise should be incorporated into the liaisons’ training materials. </w:t>
      </w:r>
    </w:p>
    <w:p w14:paraId="10CCFCEC" w14:textId="4E2381A3" w:rsidR="00E83D65" w:rsidRPr="00070670" w:rsidRDefault="00E83D65">
      <w:pPr>
        <w:pBdr>
          <w:bottom w:val="single" w:sz="6" w:space="1" w:color="auto"/>
        </w:pBdr>
        <w:rPr>
          <w:rFonts w:ascii="Tw Cen MT" w:hAnsi="Tw Cen MT"/>
        </w:rPr>
      </w:pPr>
    </w:p>
    <w:p w14:paraId="3A333C17" w14:textId="77777777" w:rsidR="00E83D65" w:rsidRPr="00070670" w:rsidRDefault="00E83D65" w:rsidP="00E83D65">
      <w:pPr>
        <w:pStyle w:val="ListParagraph"/>
        <w:numPr>
          <w:ilvl w:val="0"/>
          <w:numId w:val="5"/>
        </w:numPr>
        <w:spacing w:after="0"/>
        <w:rPr>
          <w:rFonts w:ascii="Tw Cen MT" w:eastAsia="Tw Cen MT" w:hAnsi="Tw Cen MT" w:cs="Tw Cen MT"/>
          <w:b/>
          <w:bCs/>
          <w:color w:val="4472C4" w:themeColor="accent1"/>
          <w:sz w:val="32"/>
          <w:szCs w:val="32"/>
        </w:rPr>
      </w:pPr>
      <w:r w:rsidRPr="00070670">
        <w:rPr>
          <w:rFonts w:ascii="Tw Cen MT" w:eastAsia="Tw Cen MT" w:hAnsi="Tw Cen MT" w:cs="Tw Cen MT"/>
          <w:b/>
          <w:bCs/>
          <w:color w:val="4472C4" w:themeColor="accent1"/>
          <w:sz w:val="32"/>
          <w:szCs w:val="32"/>
        </w:rPr>
        <w:t>Climate Hazards and Vulnerabilities</w:t>
      </w:r>
    </w:p>
    <w:p w14:paraId="51F81513" w14:textId="14A502A3" w:rsidR="009F095C" w:rsidRPr="00070670" w:rsidRDefault="00D541C9">
      <w:pPr>
        <w:rPr>
          <w:rFonts w:ascii="Tw Cen MT" w:hAnsi="Tw Cen MT"/>
        </w:rPr>
      </w:pPr>
      <w:r w:rsidRPr="00070670">
        <w:rPr>
          <w:rFonts w:ascii="Tw Cen MT" w:hAnsi="Tw Cen MT"/>
          <w:b/>
          <w:bCs/>
        </w:rPr>
        <w:t xml:space="preserve">What? </w:t>
      </w:r>
      <w:r w:rsidRPr="00070670">
        <w:rPr>
          <w:rFonts w:ascii="Tw Cen MT" w:hAnsi="Tw Cen MT"/>
          <w:b/>
          <w:bCs/>
        </w:rPr>
        <w:br/>
      </w:r>
      <w:r w:rsidRPr="00070670">
        <w:rPr>
          <w:rFonts w:ascii="Tw Cen MT" w:hAnsi="Tw Cen MT"/>
        </w:rPr>
        <w:t xml:space="preserve">Identify your municipality’s most notable climate hazards, such as extreme heat, coastal or inland flooding, or severe storms. </w:t>
      </w:r>
      <w:r w:rsidR="009F095C" w:rsidRPr="00070670">
        <w:rPr>
          <w:rFonts w:ascii="Tw Cen MT" w:hAnsi="Tw Cen MT"/>
        </w:rPr>
        <w:t xml:space="preserve">What specific areas will </w:t>
      </w:r>
      <w:r w:rsidR="0096674B" w:rsidRPr="00070670">
        <w:rPr>
          <w:rFonts w:ascii="Tw Cen MT" w:hAnsi="Tw Cen MT"/>
        </w:rPr>
        <w:t xml:space="preserve">be most affected by the </w:t>
      </w:r>
      <w:r w:rsidR="009F095C" w:rsidRPr="00070670">
        <w:rPr>
          <w:rFonts w:ascii="Tw Cen MT" w:hAnsi="Tw Cen MT"/>
        </w:rPr>
        <w:t xml:space="preserve">hazards? </w:t>
      </w:r>
      <w:r w:rsidR="0096674B" w:rsidRPr="00070670">
        <w:rPr>
          <w:rFonts w:ascii="Tw Cen MT" w:hAnsi="Tw Cen MT"/>
        </w:rPr>
        <w:t xml:space="preserve">What specific demographic of people are most vulnerable? </w:t>
      </w:r>
    </w:p>
    <w:p w14:paraId="5F9DA3FF" w14:textId="1026D2D2" w:rsidR="00D541C9" w:rsidRPr="00070670" w:rsidRDefault="00D541C9">
      <w:pPr>
        <w:rPr>
          <w:rFonts w:ascii="Tw Cen MT" w:hAnsi="Tw Cen MT"/>
        </w:rPr>
      </w:pPr>
      <w:r w:rsidRPr="00070670">
        <w:rPr>
          <w:rFonts w:ascii="Tw Cen MT" w:hAnsi="Tw Cen MT"/>
          <w:b/>
          <w:bCs/>
        </w:rPr>
        <w:t>How?</w:t>
      </w:r>
      <w:r w:rsidRPr="00070670">
        <w:rPr>
          <w:rFonts w:ascii="Tw Cen MT" w:hAnsi="Tw Cen MT"/>
        </w:rPr>
        <w:br/>
        <w:t xml:space="preserve">Review existing documents, such as your municipality’s </w:t>
      </w:r>
      <w:r w:rsidRPr="00070670">
        <w:rPr>
          <w:rFonts w:ascii="Tw Cen MT" w:hAnsi="Tw Cen MT"/>
          <w:i/>
          <w:iCs/>
        </w:rPr>
        <w:t>Hazard Mitigation Plan</w:t>
      </w:r>
      <w:r w:rsidRPr="00070670">
        <w:rPr>
          <w:rFonts w:ascii="Tw Cen MT" w:hAnsi="Tw Cen MT"/>
        </w:rPr>
        <w:t xml:space="preserve"> or </w:t>
      </w:r>
      <w:r w:rsidRPr="00070670">
        <w:rPr>
          <w:rFonts w:ascii="Tw Cen MT" w:hAnsi="Tw Cen MT"/>
          <w:i/>
          <w:iCs/>
        </w:rPr>
        <w:t>Climate Action Plan</w:t>
      </w:r>
      <w:r w:rsidRPr="00070670">
        <w:rPr>
          <w:rFonts w:ascii="Tw Cen MT" w:hAnsi="Tw Cen MT"/>
        </w:rPr>
        <w:t xml:space="preserve"> to identify</w:t>
      </w:r>
      <w:r w:rsidR="0096674B" w:rsidRPr="00070670">
        <w:rPr>
          <w:rFonts w:ascii="Tw Cen MT" w:hAnsi="Tw Cen MT"/>
        </w:rPr>
        <w:t xml:space="preserve"> the</w:t>
      </w:r>
      <w:r w:rsidRPr="00070670">
        <w:rPr>
          <w:rFonts w:ascii="Tw Cen MT" w:hAnsi="Tw Cen MT"/>
        </w:rPr>
        <w:t xml:space="preserve"> top hazards. </w:t>
      </w:r>
      <w:r w:rsidR="0096674B" w:rsidRPr="00070670">
        <w:rPr>
          <w:rFonts w:ascii="Tw Cen MT" w:hAnsi="Tw Cen MT"/>
        </w:rPr>
        <w:t>As</w:t>
      </w:r>
      <w:r w:rsidRPr="00070670">
        <w:rPr>
          <w:rFonts w:ascii="Tw Cen MT" w:hAnsi="Tw Cen MT"/>
        </w:rPr>
        <w:t xml:space="preserve"> available, review historical and future projected climate data to better understand how these hazards are expected to change. </w:t>
      </w:r>
      <w:r w:rsidR="0096674B" w:rsidRPr="00070670">
        <w:rPr>
          <w:rFonts w:ascii="Tw Cen MT" w:hAnsi="Tw Cen MT"/>
        </w:rPr>
        <w:t xml:space="preserve">Work with GIS department to map the hazards (e.g., hottest areas of the region or projected sea level rise) against critical facilities and environmental justice neighborhoods. </w:t>
      </w:r>
    </w:p>
    <w:p w14:paraId="6CBA669C" w14:textId="36B45317" w:rsidR="00D541C9" w:rsidRPr="00070670" w:rsidRDefault="00D541C9">
      <w:pPr>
        <w:rPr>
          <w:rFonts w:ascii="Tw Cen MT" w:hAnsi="Tw Cen MT"/>
        </w:rPr>
      </w:pPr>
      <w:r w:rsidRPr="00070670">
        <w:rPr>
          <w:rFonts w:ascii="Tw Cen MT" w:hAnsi="Tw Cen MT"/>
          <w:b/>
          <w:bCs/>
        </w:rPr>
        <w:t>Why?</w:t>
      </w:r>
      <w:r w:rsidRPr="00070670">
        <w:rPr>
          <w:rFonts w:ascii="Tw Cen MT" w:hAnsi="Tw Cen MT"/>
          <w:b/>
          <w:bCs/>
        </w:rPr>
        <w:br/>
      </w:r>
      <w:r w:rsidRPr="00070670">
        <w:rPr>
          <w:rFonts w:ascii="Tw Cen MT" w:hAnsi="Tw Cen MT"/>
        </w:rPr>
        <w:t xml:space="preserve">Understanding the </w:t>
      </w:r>
      <w:r w:rsidR="00490FB0" w:rsidRPr="00070670">
        <w:rPr>
          <w:rFonts w:ascii="Tw Cen MT" w:hAnsi="Tw Cen MT"/>
        </w:rPr>
        <w:t xml:space="preserve">climate </w:t>
      </w:r>
      <w:r w:rsidRPr="00070670">
        <w:rPr>
          <w:rFonts w:ascii="Tw Cen MT" w:hAnsi="Tw Cen MT"/>
        </w:rPr>
        <w:t xml:space="preserve">hazards and vulnerabilities forms the foundation </w:t>
      </w:r>
      <w:r w:rsidR="0096674B" w:rsidRPr="00070670">
        <w:rPr>
          <w:rFonts w:ascii="Tw Cen MT" w:hAnsi="Tw Cen MT"/>
        </w:rPr>
        <w:t xml:space="preserve">for the liaison program’s </w:t>
      </w:r>
      <w:r w:rsidR="00490FB0" w:rsidRPr="00070670">
        <w:rPr>
          <w:rFonts w:ascii="Tw Cen MT" w:hAnsi="Tw Cen MT"/>
        </w:rPr>
        <w:t xml:space="preserve">the preparedness initiatives. </w:t>
      </w:r>
      <w:r w:rsidR="0096674B" w:rsidRPr="00070670">
        <w:rPr>
          <w:rFonts w:ascii="Tw Cen MT" w:hAnsi="Tw Cen MT"/>
        </w:rPr>
        <w:t xml:space="preserve">Table 1 below outlines direct and indirect health impacts of different climate hazards. </w:t>
      </w:r>
    </w:p>
    <w:tbl>
      <w:tblPr>
        <w:tblW w:w="95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20" w:firstRow="1" w:lastRow="0" w:firstColumn="0" w:lastColumn="0" w:noHBand="0" w:noVBand="1"/>
      </w:tblPr>
      <w:tblGrid>
        <w:gridCol w:w="1880"/>
        <w:gridCol w:w="7650"/>
      </w:tblGrid>
      <w:tr w:rsidR="00265C86" w:rsidRPr="00070670" w14:paraId="7F25D65F" w14:textId="77777777" w:rsidTr="00265C86">
        <w:trPr>
          <w:trHeight w:val="255"/>
          <w:jc w:val="center"/>
        </w:trPr>
        <w:tc>
          <w:tcPr>
            <w:tcW w:w="1880" w:type="dxa"/>
            <w:tcBorders>
              <w:top w:val="single" w:sz="2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72" w:type="dxa"/>
              <w:left w:w="144" w:type="dxa"/>
              <w:bottom w:w="72" w:type="dxa"/>
              <w:right w:w="144" w:type="dxa"/>
            </w:tcMar>
            <w:vAlign w:val="center"/>
          </w:tcPr>
          <w:p w14:paraId="668CD042" w14:textId="79F884E7" w:rsidR="00265C86" w:rsidRPr="00265C86" w:rsidRDefault="00265C86" w:rsidP="00265C86">
            <w:pPr>
              <w:contextualSpacing/>
              <w:jc w:val="center"/>
              <w:rPr>
                <w:rFonts w:ascii="Tw Cen MT" w:eastAsia="Times New Roman" w:hAnsi="Tw Cen MT" w:cs="Arial"/>
                <w:b/>
                <w:color w:val="FFFFFF" w:themeColor="background1"/>
                <w:kern w:val="24"/>
                <w:sz w:val="24"/>
                <w:szCs w:val="24"/>
              </w:rPr>
            </w:pPr>
            <w:r w:rsidRPr="00265C86">
              <w:rPr>
                <w:rFonts w:ascii="Tw Cen MT" w:eastAsia="Times New Roman" w:hAnsi="Tw Cen MT" w:cs="Arial"/>
                <w:b/>
                <w:color w:val="FFFFFF" w:themeColor="background1"/>
                <w:kern w:val="24"/>
                <w:sz w:val="24"/>
                <w:szCs w:val="24"/>
              </w:rPr>
              <w:t>Climate Hazard</w:t>
            </w:r>
          </w:p>
        </w:tc>
        <w:tc>
          <w:tcPr>
            <w:tcW w:w="7650" w:type="dxa"/>
            <w:tcBorders>
              <w:top w:val="single" w:sz="2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72" w:type="dxa"/>
              <w:left w:w="144" w:type="dxa"/>
              <w:bottom w:w="72" w:type="dxa"/>
              <w:right w:w="144" w:type="dxa"/>
            </w:tcMar>
          </w:tcPr>
          <w:p w14:paraId="431E5EC0" w14:textId="278FFDE4" w:rsidR="00265C86" w:rsidRPr="00265C86" w:rsidRDefault="00265C86" w:rsidP="00265C86">
            <w:pPr>
              <w:contextualSpacing/>
              <w:jc w:val="center"/>
              <w:rPr>
                <w:rFonts w:ascii="Tw Cen MT" w:eastAsia="Times New Roman" w:hAnsi="Tw Cen MT" w:cs="Arial"/>
                <w:b/>
                <w:bCs/>
                <w:color w:val="FFFFFF" w:themeColor="background1"/>
                <w:kern w:val="24"/>
                <w:sz w:val="24"/>
                <w:szCs w:val="24"/>
              </w:rPr>
            </w:pPr>
            <w:r w:rsidRPr="00265C86">
              <w:rPr>
                <w:rFonts w:ascii="Tw Cen MT" w:eastAsia="Times New Roman" w:hAnsi="Tw Cen MT" w:cs="Arial"/>
                <w:b/>
                <w:bCs/>
                <w:color w:val="FFFFFF" w:themeColor="background1"/>
                <w:kern w:val="24"/>
                <w:sz w:val="24"/>
                <w:szCs w:val="24"/>
              </w:rPr>
              <w:t>Health Impacts</w:t>
            </w:r>
          </w:p>
        </w:tc>
      </w:tr>
      <w:tr w:rsidR="00D541C9" w:rsidRPr="00070670" w14:paraId="46945140" w14:textId="77777777" w:rsidTr="00265C86">
        <w:trPr>
          <w:trHeight w:val="804"/>
          <w:jc w:val="center"/>
        </w:trPr>
        <w:tc>
          <w:tcPr>
            <w:tcW w:w="1880" w:type="dxa"/>
            <w:tcBorders>
              <w:top w:val="single" w:sz="24" w:space="0" w:color="000000" w:themeColor="text1"/>
              <w:left w:val="single" w:sz="8" w:space="0" w:color="000000" w:themeColor="text1"/>
              <w:bottom w:val="single" w:sz="8" w:space="0" w:color="000000" w:themeColor="text1"/>
              <w:right w:val="single" w:sz="8" w:space="0" w:color="000000" w:themeColor="text1"/>
            </w:tcBorders>
            <w:shd w:val="clear" w:color="auto" w:fill="EC573A"/>
            <w:tcMar>
              <w:top w:w="72" w:type="dxa"/>
              <w:left w:w="144" w:type="dxa"/>
              <w:bottom w:w="72" w:type="dxa"/>
              <w:right w:w="144" w:type="dxa"/>
            </w:tcMar>
            <w:vAlign w:val="center"/>
            <w:hideMark/>
          </w:tcPr>
          <w:p w14:paraId="62010F75" w14:textId="77777777" w:rsidR="00D541C9" w:rsidRPr="00070670" w:rsidRDefault="00D541C9" w:rsidP="003B2E47">
            <w:pPr>
              <w:contextualSpacing/>
              <w:jc w:val="center"/>
              <w:rPr>
                <w:rFonts w:ascii="Tw Cen MT" w:eastAsia="Times New Roman" w:hAnsi="Tw Cen MT" w:cs="Arial"/>
              </w:rPr>
            </w:pPr>
            <w:r w:rsidRPr="00070670">
              <w:rPr>
                <w:rFonts w:ascii="Tw Cen MT" w:eastAsia="Times New Roman" w:hAnsi="Tw Cen MT" w:cs="Arial"/>
                <w:b/>
                <w:color w:val="FFFFFF"/>
                <w:kern w:val="24"/>
              </w:rPr>
              <w:t>Extreme Heat</w:t>
            </w:r>
          </w:p>
        </w:tc>
        <w:tc>
          <w:tcPr>
            <w:tcW w:w="7650" w:type="dxa"/>
            <w:tcBorders>
              <w:top w:val="single" w:sz="24" w:space="0" w:color="000000" w:themeColor="text1"/>
              <w:left w:val="single" w:sz="8" w:space="0" w:color="000000" w:themeColor="text1"/>
              <w:bottom w:val="single" w:sz="8" w:space="0" w:color="000000" w:themeColor="text1"/>
              <w:right w:val="single" w:sz="8" w:space="0" w:color="000000" w:themeColor="text1"/>
            </w:tcBorders>
            <w:shd w:val="clear" w:color="auto" w:fill="D2DEEF"/>
            <w:tcMar>
              <w:top w:w="72" w:type="dxa"/>
              <w:left w:w="144" w:type="dxa"/>
              <w:bottom w:w="72" w:type="dxa"/>
              <w:right w:w="144" w:type="dxa"/>
            </w:tcMar>
            <w:hideMark/>
          </w:tcPr>
          <w:p w14:paraId="5DBAD378" w14:textId="77777777" w:rsidR="00D541C9" w:rsidRPr="00070670" w:rsidRDefault="00D541C9" w:rsidP="003B2E47">
            <w:pPr>
              <w:contextualSpacing/>
              <w:rPr>
                <w:rFonts w:ascii="Tw Cen MT" w:eastAsia="Times New Roman" w:hAnsi="Tw Cen MT" w:cs="Arial"/>
              </w:rPr>
            </w:pPr>
            <w:r w:rsidRPr="00070670">
              <w:rPr>
                <w:rFonts w:ascii="Tw Cen MT" w:eastAsia="Times New Roman" w:hAnsi="Tw Cen MT" w:cs="Arial"/>
                <w:b/>
                <w:bCs/>
                <w:color w:val="000000"/>
                <w:kern w:val="24"/>
              </w:rPr>
              <w:t>Direct</w:t>
            </w:r>
            <w:r w:rsidRPr="00070670">
              <w:rPr>
                <w:rFonts w:ascii="Tw Cen MT" w:eastAsia="Times New Roman" w:hAnsi="Tw Cen MT" w:cs="Arial"/>
                <w:color w:val="000000"/>
                <w:kern w:val="24"/>
              </w:rPr>
              <w:t>: heat exhaustion, heat stroke, dehydration, heat cramps/rash, sunburn</w:t>
            </w:r>
          </w:p>
          <w:p w14:paraId="634F85DF" w14:textId="77777777" w:rsidR="00D541C9" w:rsidRPr="00070670" w:rsidRDefault="00D541C9" w:rsidP="003B2E47">
            <w:pPr>
              <w:contextualSpacing/>
              <w:rPr>
                <w:rFonts w:ascii="Tw Cen MT" w:eastAsia="Times New Roman" w:hAnsi="Tw Cen MT" w:cs="Arial"/>
                <w:color w:val="000000" w:themeColor="text1"/>
              </w:rPr>
            </w:pPr>
            <w:r w:rsidRPr="00070670">
              <w:rPr>
                <w:rFonts w:ascii="Tw Cen MT" w:eastAsia="Times New Roman" w:hAnsi="Tw Cen MT" w:cs="Arial"/>
                <w:b/>
                <w:bCs/>
                <w:color w:val="000000"/>
                <w:kern w:val="24"/>
              </w:rPr>
              <w:t>Indirect</w:t>
            </w:r>
            <w:r w:rsidRPr="00070670">
              <w:rPr>
                <w:rFonts w:ascii="Tw Cen MT" w:eastAsia="Times New Roman" w:hAnsi="Tw Cen MT" w:cs="Arial"/>
                <w:color w:val="000000"/>
                <w:kern w:val="24"/>
              </w:rPr>
              <w:t xml:space="preserve">: </w:t>
            </w:r>
            <w:r w:rsidRPr="00070670">
              <w:rPr>
                <w:rFonts w:ascii="Tw Cen MT" w:eastAsia="Times New Roman" w:hAnsi="Tw Cen MT" w:cs="Arial"/>
                <w:color w:val="000000" w:themeColor="text1"/>
              </w:rPr>
              <w:t>exacerbation of pre-existing health conditions (e.g., cardiovascular disease, respiratory illness), vector-borne diseases, increased hospitalization rates, decreased productivity, mental health impacts (e.g., stress, anxiety, depression), strain on public health infrastructure</w:t>
            </w:r>
          </w:p>
          <w:p w14:paraId="7CCFAFB3" w14:textId="77777777" w:rsidR="00D541C9" w:rsidRPr="00070670" w:rsidRDefault="00D541C9" w:rsidP="003B2E47">
            <w:pPr>
              <w:contextualSpacing/>
              <w:rPr>
                <w:rFonts w:ascii="Tw Cen MT" w:eastAsia="Times New Roman" w:hAnsi="Tw Cen MT" w:cs="Arial"/>
                <w:color w:val="000000" w:themeColor="text1"/>
              </w:rPr>
            </w:pPr>
          </w:p>
        </w:tc>
      </w:tr>
      <w:tr w:rsidR="00D541C9" w:rsidRPr="00070670" w14:paraId="24DE42C0" w14:textId="77777777" w:rsidTr="00265C86">
        <w:trPr>
          <w:trHeight w:val="763"/>
          <w:jc w:val="center"/>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82671"/>
            <w:tcMar>
              <w:top w:w="72" w:type="dxa"/>
              <w:left w:w="144" w:type="dxa"/>
              <w:bottom w:w="72" w:type="dxa"/>
              <w:right w:w="144" w:type="dxa"/>
            </w:tcMar>
            <w:vAlign w:val="center"/>
            <w:hideMark/>
          </w:tcPr>
          <w:p w14:paraId="42FDDB64" w14:textId="77777777" w:rsidR="00D541C9" w:rsidRPr="00070670" w:rsidRDefault="00D541C9" w:rsidP="003B2E47">
            <w:pPr>
              <w:contextualSpacing/>
              <w:jc w:val="center"/>
              <w:rPr>
                <w:rFonts w:ascii="Tw Cen MT" w:eastAsia="Times New Roman" w:hAnsi="Tw Cen MT" w:cs="Arial"/>
              </w:rPr>
            </w:pPr>
            <w:r w:rsidRPr="00070670">
              <w:rPr>
                <w:rFonts w:ascii="Tw Cen MT" w:eastAsia="Times New Roman" w:hAnsi="Tw Cen MT" w:cs="Arial"/>
                <w:b/>
                <w:color w:val="FFFFFF"/>
                <w:kern w:val="24"/>
              </w:rPr>
              <w:t>Flooding</w:t>
            </w:r>
          </w:p>
        </w:tc>
        <w:tc>
          <w:tcPr>
            <w:tcW w:w="7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EFF7"/>
            <w:tcMar>
              <w:top w:w="72" w:type="dxa"/>
              <w:left w:w="144" w:type="dxa"/>
              <w:bottom w:w="72" w:type="dxa"/>
              <w:right w:w="144" w:type="dxa"/>
            </w:tcMar>
            <w:hideMark/>
          </w:tcPr>
          <w:p w14:paraId="1FD66EAF" w14:textId="77777777" w:rsidR="00D541C9" w:rsidRPr="00070670" w:rsidRDefault="00D541C9" w:rsidP="003B2E47">
            <w:pPr>
              <w:contextualSpacing/>
              <w:rPr>
                <w:rFonts w:ascii="Tw Cen MT" w:eastAsia="Times New Roman" w:hAnsi="Tw Cen MT" w:cs="Arial"/>
              </w:rPr>
            </w:pPr>
            <w:r w:rsidRPr="00070670">
              <w:rPr>
                <w:rFonts w:ascii="Tw Cen MT" w:eastAsia="Times New Roman" w:hAnsi="Tw Cen MT" w:cs="Arial"/>
                <w:b/>
                <w:bCs/>
                <w:color w:val="000000"/>
                <w:kern w:val="24"/>
              </w:rPr>
              <w:t>Direct</w:t>
            </w:r>
            <w:r w:rsidRPr="00070670">
              <w:rPr>
                <w:rFonts w:ascii="Tw Cen MT" w:eastAsia="Times New Roman" w:hAnsi="Tw Cen MT" w:cs="Arial"/>
                <w:color w:val="000000"/>
                <w:kern w:val="24"/>
              </w:rPr>
              <w:t>: drowning, injury, displacement, waterborne injuries (cuts, bruises), electrocution from submerged electrical hazards</w:t>
            </w:r>
          </w:p>
          <w:p w14:paraId="006103DF" w14:textId="77777777" w:rsidR="00D541C9" w:rsidRPr="00070670" w:rsidRDefault="00D541C9" w:rsidP="003B2E47">
            <w:pPr>
              <w:contextualSpacing/>
              <w:rPr>
                <w:rFonts w:ascii="Tw Cen MT" w:eastAsia="Times New Roman" w:hAnsi="Tw Cen MT" w:cs="Arial"/>
                <w:color w:val="000000" w:themeColor="text1"/>
              </w:rPr>
            </w:pPr>
            <w:r w:rsidRPr="00070670">
              <w:rPr>
                <w:rFonts w:ascii="Tw Cen MT" w:eastAsia="Times New Roman" w:hAnsi="Tw Cen MT" w:cs="Arial"/>
                <w:b/>
                <w:bCs/>
                <w:color w:val="000000"/>
                <w:kern w:val="24"/>
              </w:rPr>
              <w:t>Indirect</w:t>
            </w:r>
            <w:r w:rsidRPr="00070670">
              <w:rPr>
                <w:rFonts w:ascii="Tw Cen MT" w:eastAsia="Times New Roman" w:hAnsi="Tw Cen MT" w:cs="Arial"/>
                <w:color w:val="000000"/>
                <w:kern w:val="24"/>
              </w:rPr>
              <w:t>: mold exposure (i.e., respiratory illness), outbreak of water-borne and/or vector-borne diseases, drinking water contamination, mental stress and trauma, business interruption/economic repercussions,</w:t>
            </w:r>
            <w:r w:rsidRPr="00070670">
              <w:rPr>
                <w:rFonts w:ascii="Tw Cen MT" w:hAnsi="Tw Cen MT"/>
              </w:rPr>
              <w:t xml:space="preserve"> </w:t>
            </w:r>
            <w:r w:rsidRPr="00070670">
              <w:rPr>
                <w:rFonts w:ascii="Tw Cen MT" w:eastAsia="Times New Roman" w:hAnsi="Tw Cen MT" w:cs="Arial"/>
                <w:color w:val="000000"/>
                <w:kern w:val="24"/>
              </w:rPr>
              <w:t>disruption of healthcare services</w:t>
            </w:r>
          </w:p>
        </w:tc>
      </w:tr>
      <w:tr w:rsidR="00D541C9" w:rsidRPr="00070670" w14:paraId="116D57E3" w14:textId="77777777" w:rsidTr="00265C86">
        <w:trPr>
          <w:trHeight w:val="1296"/>
          <w:jc w:val="center"/>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72" w:type="dxa"/>
              <w:left w:w="144" w:type="dxa"/>
              <w:bottom w:w="72" w:type="dxa"/>
              <w:right w:w="144" w:type="dxa"/>
            </w:tcMar>
            <w:vAlign w:val="center"/>
            <w:hideMark/>
          </w:tcPr>
          <w:p w14:paraId="7DB39730" w14:textId="77777777" w:rsidR="00D541C9" w:rsidRPr="00070670" w:rsidRDefault="00D541C9" w:rsidP="003B2E47">
            <w:pPr>
              <w:contextualSpacing/>
              <w:jc w:val="center"/>
              <w:rPr>
                <w:rFonts w:ascii="Tw Cen MT" w:eastAsia="Times New Roman" w:hAnsi="Tw Cen MT" w:cs="Arial"/>
              </w:rPr>
            </w:pPr>
            <w:r w:rsidRPr="00070670">
              <w:rPr>
                <w:rFonts w:ascii="Tw Cen MT" w:eastAsia="Times New Roman" w:hAnsi="Tw Cen MT" w:cs="Arial"/>
                <w:b/>
                <w:color w:val="FFFFFF"/>
                <w:kern w:val="24"/>
              </w:rPr>
              <w:lastRenderedPageBreak/>
              <w:t>Severe Storms</w:t>
            </w:r>
          </w:p>
        </w:tc>
        <w:tc>
          <w:tcPr>
            <w:tcW w:w="7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2DEEF"/>
            <w:tcMar>
              <w:top w:w="72" w:type="dxa"/>
              <w:left w:w="144" w:type="dxa"/>
              <w:bottom w:w="72" w:type="dxa"/>
              <w:right w:w="144" w:type="dxa"/>
            </w:tcMar>
            <w:hideMark/>
          </w:tcPr>
          <w:p w14:paraId="6DBC1A0D" w14:textId="77777777" w:rsidR="00D541C9" w:rsidRPr="00070670" w:rsidRDefault="00D541C9" w:rsidP="003B2E47">
            <w:pPr>
              <w:contextualSpacing/>
              <w:rPr>
                <w:rFonts w:ascii="Tw Cen MT" w:eastAsia="Times New Roman" w:hAnsi="Tw Cen MT" w:cs="Arial"/>
              </w:rPr>
            </w:pPr>
            <w:r w:rsidRPr="00070670">
              <w:rPr>
                <w:rFonts w:ascii="Tw Cen MT" w:eastAsia="Times New Roman" w:hAnsi="Tw Cen MT" w:cs="Arial"/>
                <w:b/>
                <w:bCs/>
                <w:color w:val="000000"/>
                <w:kern w:val="24"/>
              </w:rPr>
              <w:t>Direct</w:t>
            </w:r>
            <w:r w:rsidRPr="00070670">
              <w:rPr>
                <w:rFonts w:ascii="Tw Cen MT" w:eastAsia="Times New Roman" w:hAnsi="Tw Cen MT" w:cs="Arial"/>
                <w:color w:val="000000"/>
                <w:kern w:val="24"/>
              </w:rPr>
              <w:t>: drowning, injury from debris/collapsing structures or trees, displacement, electrocution from submerged electrical hazards, hypothermia</w:t>
            </w:r>
          </w:p>
          <w:p w14:paraId="64404A40" w14:textId="77777777" w:rsidR="00D541C9" w:rsidRPr="00070670" w:rsidRDefault="00D541C9" w:rsidP="003B2E47">
            <w:pPr>
              <w:contextualSpacing/>
              <w:rPr>
                <w:rFonts w:ascii="Tw Cen MT" w:eastAsia="Times New Roman" w:hAnsi="Tw Cen MT" w:cs="Arial"/>
                <w:color w:val="000000" w:themeColor="text1"/>
              </w:rPr>
            </w:pPr>
            <w:r w:rsidRPr="00070670">
              <w:rPr>
                <w:rFonts w:ascii="Tw Cen MT" w:eastAsia="Times New Roman" w:hAnsi="Tw Cen MT" w:cs="Arial"/>
                <w:b/>
                <w:bCs/>
                <w:color w:val="000000"/>
                <w:kern w:val="24"/>
              </w:rPr>
              <w:t>Indirect</w:t>
            </w:r>
            <w:r w:rsidRPr="00070670">
              <w:rPr>
                <w:rFonts w:ascii="Tw Cen MT" w:eastAsia="Times New Roman" w:hAnsi="Tw Cen MT" w:cs="Arial"/>
                <w:color w:val="000000"/>
                <w:kern w:val="24"/>
              </w:rPr>
              <w:t>: mold exposure, outbreak of water-borne and/or vector-borne diseases, drinking water contamination, m</w:t>
            </w:r>
            <w:r w:rsidRPr="00070670">
              <w:rPr>
                <w:rFonts w:ascii="Tw Cen MT" w:eastAsia="Times New Roman" w:hAnsi="Tw Cen MT" w:cs="Arial"/>
                <w:color w:val="000000" w:themeColor="text1"/>
              </w:rPr>
              <w:t xml:space="preserve"> mental health impacts (e.g., stress, anxiety, depression), </w:t>
            </w:r>
            <w:r w:rsidRPr="00070670">
              <w:rPr>
                <w:rFonts w:ascii="Tw Cen MT" w:eastAsia="Times New Roman" w:hAnsi="Tw Cen MT" w:cs="Arial"/>
                <w:color w:val="000000"/>
                <w:kern w:val="24"/>
              </w:rPr>
              <w:t>business interruption/economic repercussions,</w:t>
            </w:r>
            <w:r w:rsidRPr="00070670">
              <w:rPr>
                <w:rFonts w:ascii="Tw Cen MT" w:hAnsi="Tw Cen MT"/>
              </w:rPr>
              <w:t xml:space="preserve"> </w:t>
            </w:r>
            <w:r w:rsidRPr="00070670">
              <w:rPr>
                <w:rFonts w:ascii="Tw Cen MT" w:eastAsia="Times New Roman" w:hAnsi="Tw Cen MT" w:cs="Arial"/>
                <w:color w:val="000000"/>
                <w:kern w:val="24"/>
              </w:rPr>
              <w:t>disruption of healthcare services</w:t>
            </w:r>
          </w:p>
        </w:tc>
      </w:tr>
    </w:tbl>
    <w:p w14:paraId="64CD74ED" w14:textId="77777777" w:rsidR="001700B8" w:rsidRPr="00070670" w:rsidRDefault="001700B8" w:rsidP="00977D1D">
      <w:pPr>
        <w:rPr>
          <w:rFonts w:ascii="Tw Cen MT" w:hAnsi="Tw Cen MT"/>
        </w:rPr>
      </w:pPr>
    </w:p>
    <w:p w14:paraId="7F68E1DE" w14:textId="506C49B3" w:rsidR="0096674B" w:rsidRPr="00070670" w:rsidRDefault="0096674B" w:rsidP="0096674B">
      <w:pPr>
        <w:pStyle w:val="ListParagraph"/>
        <w:numPr>
          <w:ilvl w:val="0"/>
          <w:numId w:val="5"/>
        </w:numPr>
        <w:spacing w:after="0"/>
        <w:rPr>
          <w:rFonts w:ascii="Tw Cen MT" w:eastAsia="Tw Cen MT" w:hAnsi="Tw Cen MT" w:cs="Tw Cen MT"/>
          <w:b/>
          <w:bCs/>
          <w:color w:val="4472C4" w:themeColor="accent1"/>
          <w:sz w:val="32"/>
          <w:szCs w:val="32"/>
        </w:rPr>
      </w:pPr>
      <w:r w:rsidRPr="00070670">
        <w:rPr>
          <w:rFonts w:ascii="Tw Cen MT" w:eastAsia="Tw Cen MT" w:hAnsi="Tw Cen MT" w:cs="Tw Cen MT"/>
          <w:b/>
          <w:bCs/>
          <w:color w:val="4472C4" w:themeColor="accent1"/>
          <w:sz w:val="32"/>
          <w:szCs w:val="32"/>
        </w:rPr>
        <w:t xml:space="preserve">Climate </w:t>
      </w:r>
      <w:r w:rsidR="00070670" w:rsidRPr="00070670">
        <w:rPr>
          <w:rFonts w:ascii="Tw Cen MT" w:eastAsia="Tw Cen MT" w:hAnsi="Tw Cen MT" w:cs="Tw Cen MT"/>
          <w:b/>
          <w:bCs/>
          <w:color w:val="4472C4" w:themeColor="accent1"/>
          <w:sz w:val="32"/>
          <w:szCs w:val="32"/>
        </w:rPr>
        <w:t>Equity</w:t>
      </w:r>
    </w:p>
    <w:p w14:paraId="5D956502" w14:textId="57773188" w:rsidR="0096674B" w:rsidRPr="00070670" w:rsidRDefault="0096674B" w:rsidP="0096674B">
      <w:pPr>
        <w:rPr>
          <w:rFonts w:ascii="Tw Cen MT" w:hAnsi="Tw Cen MT"/>
        </w:rPr>
      </w:pPr>
      <w:r w:rsidRPr="00070670">
        <w:rPr>
          <w:rFonts w:ascii="Tw Cen MT" w:hAnsi="Tw Cen MT"/>
          <w:b/>
          <w:bCs/>
        </w:rPr>
        <w:t xml:space="preserve">What? </w:t>
      </w:r>
      <w:r w:rsidRPr="00070670">
        <w:rPr>
          <w:rFonts w:ascii="Tw Cen MT" w:hAnsi="Tw Cen MT"/>
          <w:b/>
          <w:bCs/>
        </w:rPr>
        <w:br/>
      </w:r>
      <w:r w:rsidRPr="00070670">
        <w:rPr>
          <w:rFonts w:ascii="Tw Cen MT" w:hAnsi="Tw Cen MT"/>
        </w:rPr>
        <w:t>Investigate existing disparities in climate impacts across different socio-economic and racial groups in your municipality. Understand which communities are most vulnerable to climate change and most likely to be most affected by its impacts.</w:t>
      </w:r>
      <w:r w:rsidR="00070670" w:rsidRPr="00070670">
        <w:rPr>
          <w:rFonts w:ascii="Tw Cen MT" w:hAnsi="Tw Cen MT"/>
        </w:rPr>
        <w:t xml:space="preserve"> What neighborhoods have a higher population of people of color, lower income households, and/or English isolation?</w:t>
      </w:r>
    </w:p>
    <w:p w14:paraId="5F46FED7" w14:textId="7725472A" w:rsidR="00070670" w:rsidRPr="00070670" w:rsidRDefault="0096674B" w:rsidP="00070670">
      <w:pPr>
        <w:rPr>
          <w:rFonts w:ascii="Tw Cen MT" w:hAnsi="Tw Cen MT"/>
        </w:rPr>
      </w:pPr>
      <w:r w:rsidRPr="00070670">
        <w:rPr>
          <w:rFonts w:ascii="Tw Cen MT" w:hAnsi="Tw Cen MT"/>
          <w:b/>
          <w:bCs/>
        </w:rPr>
        <w:t>How?</w:t>
      </w:r>
      <w:r w:rsidRPr="00070670">
        <w:rPr>
          <w:rFonts w:ascii="Tw Cen MT" w:hAnsi="Tw Cen MT"/>
        </w:rPr>
        <w:br/>
      </w:r>
      <w:r w:rsidR="00070670" w:rsidRPr="00070670">
        <w:rPr>
          <w:rFonts w:ascii="Tw Cen MT" w:hAnsi="Tw Cen MT"/>
        </w:rPr>
        <w:t xml:space="preserve">Review maps of environmental justice neighborhoods, flood hazard areas, toxic sites, and other socio-economic maps of relevance. Engage with the municipality’s Director of Diversity, Equity, and Inclusion (DEI), or similar role, to gain insights into the traditionally underserved populations and their challenges. </w:t>
      </w:r>
    </w:p>
    <w:p w14:paraId="75CD868C" w14:textId="23389922" w:rsidR="00070670" w:rsidRDefault="0096674B" w:rsidP="0096674B">
      <w:pPr>
        <w:rPr>
          <w:rFonts w:ascii="Tw Cen MT" w:hAnsi="Tw Cen MT"/>
        </w:rPr>
      </w:pPr>
      <w:r w:rsidRPr="00070670">
        <w:rPr>
          <w:rFonts w:ascii="Tw Cen MT" w:hAnsi="Tw Cen MT"/>
          <w:b/>
          <w:bCs/>
        </w:rPr>
        <w:t>Why?</w:t>
      </w:r>
      <w:r w:rsidRPr="00070670">
        <w:rPr>
          <w:rFonts w:ascii="Tw Cen MT" w:hAnsi="Tw Cen MT"/>
          <w:b/>
          <w:bCs/>
        </w:rPr>
        <w:br/>
      </w:r>
      <w:r w:rsidR="002B7129">
        <w:rPr>
          <w:rFonts w:ascii="Tw Cen MT" w:hAnsi="Tw Cen MT"/>
        </w:rPr>
        <w:t xml:space="preserve">Recognizing and understanding climate inequities helps ensure the community liaison program is inclusive and responsive to all residents. Program managers can use this information to both target recruitment of liaisons in priority neighborhoods and prioritize outreach activities for the liaison program. </w:t>
      </w:r>
    </w:p>
    <w:p w14:paraId="3C2075E2" w14:textId="11B538DB" w:rsidR="0096674B" w:rsidRPr="002B7129" w:rsidRDefault="002B7129" w:rsidP="00265C86">
      <w:pPr>
        <w:spacing w:after="0"/>
        <w:rPr>
          <w:rFonts w:ascii="Tw Cen MT" w:hAnsi="Tw Cen MT"/>
          <w:b/>
          <w:bCs/>
        </w:rPr>
      </w:pPr>
      <w:r w:rsidRPr="002B7129">
        <w:rPr>
          <w:rFonts w:ascii="Tw Cen MT" w:hAnsi="Tw Cen MT"/>
          <w:b/>
          <w:bCs/>
        </w:rPr>
        <w:t xml:space="preserve">Resources: </w:t>
      </w:r>
    </w:p>
    <w:p w14:paraId="36EDA8D2" w14:textId="233E5BD3" w:rsidR="002B7129" w:rsidRDefault="00000000" w:rsidP="002B7129">
      <w:pPr>
        <w:pStyle w:val="ListParagraph"/>
        <w:numPr>
          <w:ilvl w:val="0"/>
          <w:numId w:val="7"/>
        </w:numPr>
        <w:rPr>
          <w:rFonts w:ascii="Tw Cen MT" w:hAnsi="Tw Cen MT"/>
        </w:rPr>
      </w:pPr>
      <w:hyperlink r:id="rId14" w:history="1">
        <w:r w:rsidR="002B7129" w:rsidRPr="002B7129">
          <w:rPr>
            <w:rStyle w:val="Hyperlink"/>
            <w:rFonts w:ascii="Tw Cen MT" w:hAnsi="Tw Cen MT"/>
          </w:rPr>
          <w:t>Leading with Equity: A Guide to Community-Driven Planning</w:t>
        </w:r>
      </w:hyperlink>
    </w:p>
    <w:p w14:paraId="154F72AB" w14:textId="0CB563AB" w:rsidR="002B7129" w:rsidRDefault="00000000" w:rsidP="002B7129">
      <w:pPr>
        <w:pStyle w:val="ListParagraph"/>
        <w:numPr>
          <w:ilvl w:val="0"/>
          <w:numId w:val="7"/>
        </w:numPr>
        <w:rPr>
          <w:rFonts w:ascii="Tw Cen MT" w:hAnsi="Tw Cen MT"/>
        </w:rPr>
      </w:pPr>
      <w:hyperlink r:id="rId15" w:history="1">
        <w:r w:rsidR="002B7129" w:rsidRPr="002B7129">
          <w:rPr>
            <w:rStyle w:val="Hyperlink"/>
            <w:rFonts w:ascii="Tw Cen MT" w:hAnsi="Tw Cen MT"/>
          </w:rPr>
          <w:t>Environmental Justice Map Viewer (Massachusetts)</w:t>
        </w:r>
      </w:hyperlink>
    </w:p>
    <w:p w14:paraId="6BDD8A7D" w14:textId="77777777" w:rsidR="002B7129" w:rsidRDefault="002B7129" w:rsidP="002B7129">
      <w:pPr>
        <w:rPr>
          <w:rFonts w:ascii="Tw Cen MT" w:hAnsi="Tw Cen MT"/>
        </w:rPr>
      </w:pPr>
    </w:p>
    <w:p w14:paraId="55FB2278" w14:textId="51F72A82" w:rsidR="002B7129" w:rsidRPr="00070670" w:rsidRDefault="002B7129" w:rsidP="002B7129">
      <w:pPr>
        <w:pStyle w:val="ListParagraph"/>
        <w:numPr>
          <w:ilvl w:val="0"/>
          <w:numId w:val="5"/>
        </w:numPr>
        <w:spacing w:after="0"/>
        <w:rPr>
          <w:rFonts w:ascii="Tw Cen MT" w:eastAsia="Tw Cen MT" w:hAnsi="Tw Cen MT" w:cs="Tw Cen MT"/>
          <w:b/>
          <w:bCs/>
          <w:color w:val="4472C4" w:themeColor="accent1"/>
          <w:sz w:val="32"/>
          <w:szCs w:val="32"/>
        </w:rPr>
      </w:pPr>
      <w:r w:rsidRPr="00070670">
        <w:rPr>
          <w:rFonts w:ascii="Tw Cen MT" w:eastAsia="Tw Cen MT" w:hAnsi="Tw Cen MT" w:cs="Tw Cen MT"/>
          <w:b/>
          <w:bCs/>
          <w:color w:val="4472C4" w:themeColor="accent1"/>
          <w:sz w:val="32"/>
          <w:szCs w:val="32"/>
        </w:rPr>
        <w:t xml:space="preserve">Climate </w:t>
      </w:r>
      <w:r>
        <w:rPr>
          <w:rFonts w:ascii="Tw Cen MT" w:eastAsia="Tw Cen MT" w:hAnsi="Tw Cen MT" w:cs="Tw Cen MT"/>
          <w:b/>
          <w:bCs/>
          <w:color w:val="4472C4" w:themeColor="accent1"/>
          <w:sz w:val="32"/>
          <w:szCs w:val="32"/>
        </w:rPr>
        <w:t xml:space="preserve">Readiness and Available Resources </w:t>
      </w:r>
    </w:p>
    <w:p w14:paraId="6FD41DF2" w14:textId="259CD27B" w:rsidR="002B7129" w:rsidRDefault="002B7129" w:rsidP="002B7129">
      <w:pPr>
        <w:rPr>
          <w:rFonts w:ascii="Tw Cen MT" w:hAnsi="Tw Cen MT"/>
        </w:rPr>
      </w:pPr>
      <w:r w:rsidRPr="00070670">
        <w:rPr>
          <w:rFonts w:ascii="Tw Cen MT" w:hAnsi="Tw Cen MT"/>
          <w:b/>
          <w:bCs/>
        </w:rPr>
        <w:t xml:space="preserve">What? </w:t>
      </w:r>
      <w:r w:rsidRPr="00070670">
        <w:rPr>
          <w:rFonts w:ascii="Tw Cen MT" w:hAnsi="Tw Cen MT"/>
          <w:b/>
          <w:bCs/>
        </w:rPr>
        <w:br/>
      </w:r>
      <w:r>
        <w:rPr>
          <w:rFonts w:ascii="Tw Cen MT" w:hAnsi="Tw Cen MT"/>
        </w:rPr>
        <w:t xml:space="preserve">Assess </w:t>
      </w:r>
      <w:r w:rsidR="00B60594">
        <w:rPr>
          <w:rFonts w:ascii="Tw Cen MT" w:hAnsi="Tw Cen MT"/>
        </w:rPr>
        <w:t>the</w:t>
      </w:r>
      <w:r>
        <w:rPr>
          <w:rFonts w:ascii="Tw Cen MT" w:hAnsi="Tw Cen MT"/>
        </w:rPr>
        <w:t xml:space="preserve"> current state of </w:t>
      </w:r>
      <w:r w:rsidR="00B60594">
        <w:rPr>
          <w:rFonts w:ascii="Tw Cen MT" w:hAnsi="Tw Cen MT"/>
        </w:rPr>
        <w:t xml:space="preserve">your municipality’s </w:t>
      </w:r>
      <w:r>
        <w:rPr>
          <w:rFonts w:ascii="Tw Cen MT" w:hAnsi="Tw Cen MT"/>
        </w:rPr>
        <w:t>climate readiness, including climate commitments</w:t>
      </w:r>
      <w:r w:rsidR="00B60594">
        <w:rPr>
          <w:rFonts w:ascii="Tw Cen MT" w:hAnsi="Tw Cen MT"/>
        </w:rPr>
        <w:t>; climate action or</w:t>
      </w:r>
      <w:r>
        <w:rPr>
          <w:rFonts w:ascii="Tw Cen MT" w:hAnsi="Tw Cen MT"/>
        </w:rPr>
        <w:t xml:space="preserve"> emergency response plans</w:t>
      </w:r>
      <w:r w:rsidR="00B60594">
        <w:rPr>
          <w:rFonts w:ascii="Tw Cen MT" w:hAnsi="Tw Cen MT"/>
        </w:rPr>
        <w:t xml:space="preserve">; planned or ongoing resilience projects, plans, or initiatives, etc. </w:t>
      </w:r>
      <w:r>
        <w:rPr>
          <w:rFonts w:ascii="Tw Cen MT" w:hAnsi="Tw Cen MT"/>
        </w:rPr>
        <w:t xml:space="preserve"> Inventory the resources or service</w:t>
      </w:r>
      <w:r w:rsidR="00B60594">
        <w:rPr>
          <w:rFonts w:ascii="Tw Cen MT" w:hAnsi="Tw Cen MT"/>
        </w:rPr>
        <w:t xml:space="preserve">s available to residents to enhance their climate readiness, such as no-cost home energy assessments, flood retrofit assistance, and other climate resilience practices. </w:t>
      </w:r>
    </w:p>
    <w:p w14:paraId="502D7A68" w14:textId="59F53217" w:rsidR="00B60594" w:rsidRDefault="002B7129" w:rsidP="002B7129">
      <w:pPr>
        <w:rPr>
          <w:rFonts w:ascii="Tw Cen MT" w:hAnsi="Tw Cen MT"/>
        </w:rPr>
      </w:pPr>
      <w:r w:rsidRPr="00070670">
        <w:rPr>
          <w:rFonts w:ascii="Tw Cen MT" w:hAnsi="Tw Cen MT"/>
          <w:b/>
          <w:bCs/>
        </w:rPr>
        <w:t>How?</w:t>
      </w:r>
      <w:r w:rsidRPr="00070670">
        <w:rPr>
          <w:rFonts w:ascii="Tw Cen MT" w:hAnsi="Tw Cen MT"/>
        </w:rPr>
        <w:br/>
      </w:r>
      <w:r w:rsidR="00265C86">
        <w:rPr>
          <w:rFonts w:ascii="Tw Cen MT" w:hAnsi="Tw Cen MT"/>
        </w:rPr>
        <w:t xml:space="preserve">Review the City’s climate related plans and engage with relevant municipal departments responsible for planning for and responding to climate- impacts. </w:t>
      </w:r>
    </w:p>
    <w:p w14:paraId="13C119BD" w14:textId="185C97C6" w:rsidR="00B60594" w:rsidRDefault="002B7129" w:rsidP="002B7129">
      <w:pPr>
        <w:rPr>
          <w:rFonts w:ascii="Tw Cen MT" w:hAnsi="Tw Cen MT"/>
        </w:rPr>
      </w:pPr>
      <w:r w:rsidRPr="00070670">
        <w:rPr>
          <w:rFonts w:ascii="Tw Cen MT" w:hAnsi="Tw Cen MT"/>
          <w:b/>
          <w:bCs/>
        </w:rPr>
        <w:t>Why?</w:t>
      </w:r>
      <w:r w:rsidRPr="00070670">
        <w:rPr>
          <w:rFonts w:ascii="Tw Cen MT" w:hAnsi="Tw Cen MT"/>
          <w:b/>
          <w:bCs/>
        </w:rPr>
        <w:br/>
      </w:r>
      <w:r w:rsidR="00B60594">
        <w:rPr>
          <w:rFonts w:ascii="Tw Cen MT" w:hAnsi="Tw Cen MT"/>
        </w:rPr>
        <w:t>Evaluating the state of climate readiness</w:t>
      </w:r>
      <w:r w:rsidR="00265C86">
        <w:rPr>
          <w:rFonts w:ascii="Tw Cen MT" w:hAnsi="Tw Cen MT"/>
        </w:rPr>
        <w:t xml:space="preserve"> not only provides a comprehensive overview of the municipality’s preparedness to climate change, but also</w:t>
      </w:r>
      <w:r w:rsidR="00B60594">
        <w:rPr>
          <w:rFonts w:ascii="Tw Cen MT" w:hAnsi="Tw Cen MT"/>
        </w:rPr>
        <w:t xml:space="preserve"> allows the program manager of </w:t>
      </w:r>
      <w:r w:rsidR="00265C86">
        <w:rPr>
          <w:rFonts w:ascii="Tw Cen MT" w:hAnsi="Tw Cen MT"/>
        </w:rPr>
        <w:t>the community</w:t>
      </w:r>
      <w:r w:rsidR="00B60594">
        <w:rPr>
          <w:rFonts w:ascii="Tw Cen MT" w:hAnsi="Tw Cen MT"/>
        </w:rPr>
        <w:t xml:space="preserve"> climate liaison program to better understand the gaps or areas for improvement that the liaisons can help to fill. The inventory of resilience resources will also be useful for the liaisons to share with the community</w:t>
      </w:r>
      <w:r w:rsidR="00265C86">
        <w:rPr>
          <w:rFonts w:ascii="Tw Cen MT" w:hAnsi="Tw Cen MT"/>
        </w:rPr>
        <w:t xml:space="preserve"> and support awareness. </w:t>
      </w:r>
    </w:p>
    <w:p w14:paraId="4B058755" w14:textId="77777777" w:rsidR="00B60594" w:rsidRDefault="00B60594" w:rsidP="002B7129">
      <w:pPr>
        <w:rPr>
          <w:rFonts w:ascii="Tw Cen MT" w:hAnsi="Tw Cen MT"/>
        </w:rPr>
      </w:pPr>
    </w:p>
    <w:p w14:paraId="197F255C" w14:textId="77777777" w:rsidR="002B7129" w:rsidRPr="002B7129" w:rsidRDefault="002B7129" w:rsidP="002B7129">
      <w:pPr>
        <w:rPr>
          <w:rFonts w:ascii="Tw Cen MT" w:hAnsi="Tw Cen MT"/>
        </w:rPr>
      </w:pPr>
    </w:p>
    <w:sectPr w:rsidR="002B7129" w:rsidRPr="002B7129">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ssar, Julia" w:date="2024-01-04T22:05:00Z" w:initials="NJ">
    <w:p w14:paraId="6FFFA105" w14:textId="77777777" w:rsidR="009F095C" w:rsidRDefault="009F095C" w:rsidP="009F095C">
      <w:pPr>
        <w:pStyle w:val="CommentText"/>
      </w:pPr>
      <w:r>
        <w:rPr>
          <w:rStyle w:val="CommentReference"/>
        </w:rPr>
        <w:annotationRef/>
      </w:r>
      <w:r>
        <w:t>Link to the Cambridge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FA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A9C35B" w16cex:dateUtc="2024-01-05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FA105" w16cid:durableId="63A9C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8243" w14:textId="77777777" w:rsidR="00DD5BBF" w:rsidRDefault="00DD5BBF" w:rsidP="00A823D6">
      <w:pPr>
        <w:spacing w:after="0" w:line="240" w:lineRule="auto"/>
      </w:pPr>
      <w:r>
        <w:separator/>
      </w:r>
    </w:p>
  </w:endnote>
  <w:endnote w:type="continuationSeparator" w:id="0">
    <w:p w14:paraId="32E955F9" w14:textId="77777777" w:rsidR="00DD5BBF" w:rsidRDefault="00DD5BBF" w:rsidP="00A8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428211"/>
      <w:docPartObj>
        <w:docPartGallery w:val="Page Numbers (Bottom of Page)"/>
        <w:docPartUnique/>
      </w:docPartObj>
    </w:sdtPr>
    <w:sdtEndPr>
      <w:rPr>
        <w:noProof/>
      </w:rPr>
    </w:sdtEndPr>
    <w:sdtContent>
      <w:p w14:paraId="38857DD3" w14:textId="42FFB98A" w:rsidR="00A823D6" w:rsidRDefault="00A823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B79E" w14:textId="77777777" w:rsidR="00A823D6" w:rsidRDefault="00A82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AC20" w14:textId="77777777" w:rsidR="00DD5BBF" w:rsidRDefault="00DD5BBF" w:rsidP="00A823D6">
      <w:pPr>
        <w:spacing w:after="0" w:line="240" w:lineRule="auto"/>
      </w:pPr>
      <w:r>
        <w:separator/>
      </w:r>
    </w:p>
  </w:footnote>
  <w:footnote w:type="continuationSeparator" w:id="0">
    <w:p w14:paraId="3419048E" w14:textId="77777777" w:rsidR="00DD5BBF" w:rsidRDefault="00DD5BBF" w:rsidP="00A82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308"/>
    <w:multiLevelType w:val="hybridMultilevel"/>
    <w:tmpl w:val="22A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5E33"/>
    <w:multiLevelType w:val="hybridMultilevel"/>
    <w:tmpl w:val="9D7AF0F4"/>
    <w:lvl w:ilvl="0" w:tplc="DF789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84537"/>
    <w:multiLevelType w:val="hybridMultilevel"/>
    <w:tmpl w:val="82AA2A1C"/>
    <w:lvl w:ilvl="0" w:tplc="FB06D81C">
      <w:start w:val="1"/>
      <w:numFmt w:val="bullet"/>
      <w:lvlText w:val="-"/>
      <w:lvlJc w:val="left"/>
      <w:pPr>
        <w:ind w:left="720" w:hanging="360"/>
      </w:pPr>
      <w:rPr>
        <w:rFonts w:ascii="Calibri" w:hAnsi="Calibri" w:hint="default"/>
      </w:rPr>
    </w:lvl>
    <w:lvl w:ilvl="1" w:tplc="448E79D4">
      <w:start w:val="1"/>
      <w:numFmt w:val="bullet"/>
      <w:lvlText w:val="o"/>
      <w:lvlJc w:val="left"/>
      <w:pPr>
        <w:ind w:left="1440" w:hanging="360"/>
      </w:pPr>
      <w:rPr>
        <w:rFonts w:ascii="Courier New" w:hAnsi="Courier New" w:hint="default"/>
      </w:rPr>
    </w:lvl>
    <w:lvl w:ilvl="2" w:tplc="1F4046F4">
      <w:start w:val="1"/>
      <w:numFmt w:val="bullet"/>
      <w:lvlText w:val=""/>
      <w:lvlJc w:val="left"/>
      <w:pPr>
        <w:ind w:left="2160" w:hanging="360"/>
      </w:pPr>
      <w:rPr>
        <w:rFonts w:ascii="Wingdings" w:hAnsi="Wingdings" w:hint="default"/>
      </w:rPr>
    </w:lvl>
    <w:lvl w:ilvl="3" w:tplc="8792969C">
      <w:start w:val="1"/>
      <w:numFmt w:val="bullet"/>
      <w:lvlText w:val=""/>
      <w:lvlJc w:val="left"/>
      <w:pPr>
        <w:ind w:left="2880" w:hanging="360"/>
      </w:pPr>
      <w:rPr>
        <w:rFonts w:ascii="Symbol" w:hAnsi="Symbol" w:hint="default"/>
      </w:rPr>
    </w:lvl>
    <w:lvl w:ilvl="4" w:tplc="7D86E334">
      <w:start w:val="1"/>
      <w:numFmt w:val="bullet"/>
      <w:lvlText w:val="o"/>
      <w:lvlJc w:val="left"/>
      <w:pPr>
        <w:ind w:left="3600" w:hanging="360"/>
      </w:pPr>
      <w:rPr>
        <w:rFonts w:ascii="Courier New" w:hAnsi="Courier New" w:hint="default"/>
      </w:rPr>
    </w:lvl>
    <w:lvl w:ilvl="5" w:tplc="ED0A3D10">
      <w:start w:val="1"/>
      <w:numFmt w:val="bullet"/>
      <w:lvlText w:val=""/>
      <w:lvlJc w:val="left"/>
      <w:pPr>
        <w:ind w:left="4320" w:hanging="360"/>
      </w:pPr>
      <w:rPr>
        <w:rFonts w:ascii="Wingdings" w:hAnsi="Wingdings" w:hint="default"/>
      </w:rPr>
    </w:lvl>
    <w:lvl w:ilvl="6" w:tplc="1CB0CC38">
      <w:start w:val="1"/>
      <w:numFmt w:val="bullet"/>
      <w:lvlText w:val=""/>
      <w:lvlJc w:val="left"/>
      <w:pPr>
        <w:ind w:left="5040" w:hanging="360"/>
      </w:pPr>
      <w:rPr>
        <w:rFonts w:ascii="Symbol" w:hAnsi="Symbol" w:hint="default"/>
      </w:rPr>
    </w:lvl>
    <w:lvl w:ilvl="7" w:tplc="1C345192">
      <w:start w:val="1"/>
      <w:numFmt w:val="bullet"/>
      <w:lvlText w:val="o"/>
      <w:lvlJc w:val="left"/>
      <w:pPr>
        <w:ind w:left="5760" w:hanging="360"/>
      </w:pPr>
      <w:rPr>
        <w:rFonts w:ascii="Courier New" w:hAnsi="Courier New" w:hint="default"/>
      </w:rPr>
    </w:lvl>
    <w:lvl w:ilvl="8" w:tplc="CD168054">
      <w:start w:val="1"/>
      <w:numFmt w:val="bullet"/>
      <w:lvlText w:val=""/>
      <w:lvlJc w:val="left"/>
      <w:pPr>
        <w:ind w:left="6480" w:hanging="360"/>
      </w:pPr>
      <w:rPr>
        <w:rFonts w:ascii="Wingdings" w:hAnsi="Wingdings" w:hint="default"/>
      </w:rPr>
    </w:lvl>
  </w:abstractNum>
  <w:abstractNum w:abstractNumId="3" w15:restartNumberingAfterBreak="0">
    <w:nsid w:val="2BF62B92"/>
    <w:multiLevelType w:val="hybridMultilevel"/>
    <w:tmpl w:val="897A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E00DE"/>
    <w:multiLevelType w:val="hybridMultilevel"/>
    <w:tmpl w:val="9D7AF0F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C87BE5"/>
    <w:multiLevelType w:val="hybridMultilevel"/>
    <w:tmpl w:val="38323442"/>
    <w:lvl w:ilvl="0" w:tplc="18248E6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C497B"/>
    <w:multiLevelType w:val="hybridMultilevel"/>
    <w:tmpl w:val="D06E8A0A"/>
    <w:lvl w:ilvl="0" w:tplc="04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31127697">
    <w:abstractNumId w:val="2"/>
  </w:num>
  <w:num w:numId="2" w16cid:durableId="1154685574">
    <w:abstractNumId w:val="3"/>
  </w:num>
  <w:num w:numId="3" w16cid:durableId="1470436863">
    <w:abstractNumId w:val="0"/>
  </w:num>
  <w:num w:numId="4" w16cid:durableId="1208488442">
    <w:abstractNumId w:val="6"/>
  </w:num>
  <w:num w:numId="5" w16cid:durableId="1850754105">
    <w:abstractNumId w:val="1"/>
  </w:num>
  <w:num w:numId="6" w16cid:durableId="89086632">
    <w:abstractNumId w:val="4"/>
  </w:num>
  <w:num w:numId="7" w16cid:durableId="4486229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Julia">
    <w15:presenceInfo w15:providerId="AD" w15:userId="S::JNassar@mapc.org::f63db0c0-d75b-4a9e-9893-bda08360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0"/>
    <w:rsid w:val="00070670"/>
    <w:rsid w:val="001700B8"/>
    <w:rsid w:val="00173E88"/>
    <w:rsid w:val="001816E3"/>
    <w:rsid w:val="001A73AF"/>
    <w:rsid w:val="00265C86"/>
    <w:rsid w:val="00285D9A"/>
    <w:rsid w:val="002B7129"/>
    <w:rsid w:val="004733D5"/>
    <w:rsid w:val="00490FB0"/>
    <w:rsid w:val="004B6F16"/>
    <w:rsid w:val="005F3E35"/>
    <w:rsid w:val="006927FF"/>
    <w:rsid w:val="007762B7"/>
    <w:rsid w:val="007A549F"/>
    <w:rsid w:val="008D5FE6"/>
    <w:rsid w:val="008E701D"/>
    <w:rsid w:val="0093334C"/>
    <w:rsid w:val="0095024D"/>
    <w:rsid w:val="0096674B"/>
    <w:rsid w:val="00977D1D"/>
    <w:rsid w:val="0098595E"/>
    <w:rsid w:val="009F095C"/>
    <w:rsid w:val="00A53DD0"/>
    <w:rsid w:val="00A823D6"/>
    <w:rsid w:val="00A86A69"/>
    <w:rsid w:val="00B45FEA"/>
    <w:rsid w:val="00B60594"/>
    <w:rsid w:val="00BA1442"/>
    <w:rsid w:val="00D541C9"/>
    <w:rsid w:val="00D729A5"/>
    <w:rsid w:val="00D8410F"/>
    <w:rsid w:val="00DD5BBF"/>
    <w:rsid w:val="00E83D65"/>
    <w:rsid w:val="09BF83F6"/>
    <w:rsid w:val="0C211CAE"/>
    <w:rsid w:val="6138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B120"/>
  <w15:chartTrackingRefBased/>
  <w15:docId w15:val="{BEEA2FD5-C9C2-4E0B-9D70-12757635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FEA"/>
    <w:pPr>
      <w:ind w:left="720"/>
      <w:contextualSpacing/>
    </w:pPr>
  </w:style>
  <w:style w:type="paragraph" w:styleId="Header">
    <w:name w:val="header"/>
    <w:basedOn w:val="Normal"/>
    <w:link w:val="HeaderChar"/>
    <w:uiPriority w:val="99"/>
    <w:unhideWhenUsed/>
    <w:rsid w:val="00A8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3D6"/>
  </w:style>
  <w:style w:type="paragraph" w:styleId="Footer">
    <w:name w:val="footer"/>
    <w:basedOn w:val="Normal"/>
    <w:link w:val="FooterChar"/>
    <w:uiPriority w:val="99"/>
    <w:unhideWhenUsed/>
    <w:rsid w:val="00A8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3D6"/>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83D65"/>
    <w:rPr>
      <w:color w:val="954F72" w:themeColor="followedHyperlink"/>
      <w:u w:val="single"/>
    </w:rPr>
  </w:style>
  <w:style w:type="character" w:styleId="CommentReference">
    <w:name w:val="annotation reference"/>
    <w:basedOn w:val="DefaultParagraphFont"/>
    <w:uiPriority w:val="99"/>
    <w:semiHidden/>
    <w:unhideWhenUsed/>
    <w:rsid w:val="009F095C"/>
    <w:rPr>
      <w:sz w:val="16"/>
      <w:szCs w:val="16"/>
    </w:rPr>
  </w:style>
  <w:style w:type="paragraph" w:styleId="CommentText">
    <w:name w:val="annotation text"/>
    <w:basedOn w:val="Normal"/>
    <w:link w:val="CommentTextChar"/>
    <w:uiPriority w:val="99"/>
    <w:unhideWhenUsed/>
    <w:rsid w:val="009F095C"/>
    <w:pPr>
      <w:spacing w:line="240" w:lineRule="auto"/>
    </w:pPr>
    <w:rPr>
      <w:sz w:val="20"/>
      <w:szCs w:val="20"/>
    </w:rPr>
  </w:style>
  <w:style w:type="character" w:customStyle="1" w:styleId="CommentTextChar">
    <w:name w:val="Comment Text Char"/>
    <w:basedOn w:val="DefaultParagraphFont"/>
    <w:link w:val="CommentText"/>
    <w:uiPriority w:val="99"/>
    <w:rsid w:val="009F095C"/>
    <w:rPr>
      <w:sz w:val="20"/>
      <w:szCs w:val="20"/>
    </w:rPr>
  </w:style>
  <w:style w:type="paragraph" w:styleId="CommentSubject">
    <w:name w:val="annotation subject"/>
    <w:basedOn w:val="CommentText"/>
    <w:next w:val="CommentText"/>
    <w:link w:val="CommentSubjectChar"/>
    <w:uiPriority w:val="99"/>
    <w:semiHidden/>
    <w:unhideWhenUsed/>
    <w:rsid w:val="009F095C"/>
    <w:rPr>
      <w:b/>
      <w:bCs/>
    </w:rPr>
  </w:style>
  <w:style w:type="character" w:customStyle="1" w:styleId="CommentSubjectChar">
    <w:name w:val="Comment Subject Char"/>
    <w:basedOn w:val="CommentTextChar"/>
    <w:link w:val="CommentSubject"/>
    <w:uiPriority w:val="99"/>
    <w:semiHidden/>
    <w:rsid w:val="009F095C"/>
    <w:rPr>
      <w:b/>
      <w:bCs/>
      <w:sz w:val="20"/>
      <w:szCs w:val="20"/>
    </w:rPr>
  </w:style>
  <w:style w:type="character" w:styleId="UnresolvedMention">
    <w:name w:val="Unresolved Mention"/>
    <w:basedOn w:val="DefaultParagraphFont"/>
    <w:uiPriority w:val="99"/>
    <w:semiHidden/>
    <w:unhideWhenUsed/>
    <w:rsid w:val="002B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mass-eoeea.maps.arcgis.com/apps/webappviewer/index.html?id=1d6f63e7762a48e5930de84ed4849212"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nassar\Metropolitan%20Area%20Planning%20Council\PUBLIC~1\03_COM~1\CLIMAT~2\3_RESE~1\17E87~1.GET\-%09https:\mapc365.sharepoint.com\:p:\s\PublicHealthTeam\EYWsjJQjR0hHgY94G_c1f70BvnmhqkAGOQBzVoDi4efwnw%3fe=rx08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467A8-603D-4C32-8804-4450E08BD9C6}">
  <ds:schemaRefs>
    <ds:schemaRef ds:uri="http://schemas.microsoft.com/office/2006/metadata/properties"/>
    <ds:schemaRef ds:uri="http://schemas.microsoft.com/office/infopath/2007/PartnerControls"/>
    <ds:schemaRef ds:uri="http://schemas.microsoft.com/sharepoint/v4"/>
    <ds:schemaRef ds:uri="a880e4d9-f90f-4d56-b9a4-231c0029059b"/>
    <ds:schemaRef ds:uri="1f0b2eb3-61f4-4cdd-82ce-95daa35ba30f"/>
  </ds:schemaRefs>
</ds:datastoreItem>
</file>

<file path=customXml/itemProps2.xml><?xml version="1.0" encoding="utf-8"?>
<ds:datastoreItem xmlns:ds="http://schemas.openxmlformats.org/officeDocument/2006/customXml" ds:itemID="{BE7A9A7D-4AD0-48FF-B0EB-B91AC5369DCB}">
  <ds:schemaRefs>
    <ds:schemaRef ds:uri="http://schemas.microsoft.com/sharepoint/v3/contenttype/forms"/>
  </ds:schemaRefs>
</ds:datastoreItem>
</file>

<file path=customXml/itemProps3.xml><?xml version="1.0" encoding="utf-8"?>
<ds:datastoreItem xmlns:ds="http://schemas.openxmlformats.org/officeDocument/2006/customXml" ds:itemID="{7A5BAE31-8906-48B3-9443-E6350091B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0e4d9-f90f-4d56-b9a4-231c0029059b"/>
    <ds:schemaRef ds:uri="1f0b2eb3-61f4-4cdd-82ce-95daa35ba30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Nassar, Julia</dc:creator>
  <cp:keywords/>
  <dc:description/>
  <cp:lastModifiedBy>Nassar, Julia</cp:lastModifiedBy>
  <cp:revision>2</cp:revision>
  <dcterms:created xsi:type="dcterms:W3CDTF">2024-01-05T14:45:00Z</dcterms:created>
  <dcterms:modified xsi:type="dcterms:W3CDTF">2024-01-05T14:45:00Z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