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7A4E" w14:textId="0884DB0C" w:rsidR="008266CE" w:rsidRDefault="004D4113" w:rsidP="004D4113">
      <w:pPr>
        <w:spacing w:line="259" w:lineRule="auto"/>
        <w:jc w:val="center"/>
        <w:rPr>
          <w:rFonts w:ascii="Tw Cen MT" w:eastAsia="Tw Cen MT" w:hAnsi="Tw Cen MT" w:cs="Tw Cen MT"/>
          <w:b/>
          <w:bCs/>
          <w:color w:val="4472C4" w:themeColor="accent1"/>
        </w:rPr>
      </w:pPr>
      <w:r w:rsidRPr="004D4113">
        <w:rPr>
          <w:rFonts w:ascii="Tw Cen MT" w:hAnsi="Tw Cen MT"/>
          <w:b/>
          <w:bCs/>
          <w:sz w:val="40"/>
          <w:szCs w:val="40"/>
        </w:rPr>
        <w:t>Liaison Program Models and Examples</w:t>
      </w:r>
    </w:p>
    <w:p w14:paraId="4E5EF879" w14:textId="77777777" w:rsidR="00C409FF" w:rsidRDefault="00C409FF" w:rsidP="00CA4694">
      <w:pPr>
        <w:spacing w:line="259" w:lineRule="auto"/>
        <w:rPr>
          <w:rFonts w:ascii="Tw Cen MT" w:eastAsia="Tw Cen MT" w:hAnsi="Tw Cen MT" w:cs="Tw Cen MT"/>
          <w:color w:val="000000" w:themeColor="text1"/>
        </w:rPr>
      </w:pPr>
    </w:p>
    <w:p w14:paraId="7FCCE81E" w14:textId="478F0330" w:rsidR="00C409FF" w:rsidRDefault="00C409FF" w:rsidP="00C409FF">
      <w:pPr>
        <w:spacing w:line="259" w:lineRule="auto"/>
        <w:rPr>
          <w:rFonts w:ascii="Tw Cen MT" w:eastAsia="Tw Cen MT" w:hAnsi="Tw Cen MT" w:cs="Tw Cen MT"/>
          <w:color w:val="000000" w:themeColor="text1"/>
        </w:rPr>
      </w:pPr>
      <w:r>
        <w:rPr>
          <w:rFonts w:ascii="Tw Cen MT" w:eastAsia="Tw Cen MT" w:hAnsi="Tw Cen MT" w:cs="Tw Cen MT"/>
          <w:color w:val="000000" w:themeColor="text1"/>
        </w:rPr>
        <w:t>This document offers 3 key models for structuring a community liaison program. While other models exist, below are the types most relevant to a community climate liaisons program:</w:t>
      </w:r>
    </w:p>
    <w:p w14:paraId="08EDEF35" w14:textId="77777777" w:rsidR="00C409FF" w:rsidRDefault="00C409FF" w:rsidP="00CA4694">
      <w:pPr>
        <w:spacing w:line="259" w:lineRule="auto"/>
        <w:rPr>
          <w:rFonts w:ascii="Tw Cen MT" w:eastAsia="Tw Cen MT" w:hAnsi="Tw Cen MT" w:cs="Tw Cen MT"/>
          <w:color w:val="000000" w:themeColor="text1"/>
        </w:rPr>
      </w:pPr>
    </w:p>
    <w:p w14:paraId="4030C50A" w14:textId="409F9BAB" w:rsidR="00C409FF" w:rsidRPr="00C409FF" w:rsidRDefault="00CA4694" w:rsidP="00C409FF">
      <w:pPr>
        <w:pStyle w:val="ListParagraph"/>
        <w:numPr>
          <w:ilvl w:val="0"/>
          <w:numId w:val="8"/>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Connecting Community to Resources</w:t>
      </w:r>
    </w:p>
    <w:p w14:paraId="709AD468" w14:textId="61475DCC" w:rsidR="00C409FF" w:rsidRPr="00C409FF" w:rsidRDefault="00CA4694" w:rsidP="00C409FF">
      <w:pPr>
        <w:pStyle w:val="ListParagraph"/>
        <w:numPr>
          <w:ilvl w:val="0"/>
          <w:numId w:val="8"/>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Collecting Information</w:t>
      </w:r>
    </w:p>
    <w:p w14:paraId="1437C7C8" w14:textId="1F1BFDC6" w:rsidR="00C409FF" w:rsidRPr="00C409FF" w:rsidRDefault="00CA4694" w:rsidP="00C409FF">
      <w:pPr>
        <w:pStyle w:val="ListParagraph"/>
        <w:numPr>
          <w:ilvl w:val="0"/>
          <w:numId w:val="8"/>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Creating a Community Project</w:t>
      </w:r>
    </w:p>
    <w:p w14:paraId="59A1F90D" w14:textId="77777777" w:rsidR="00C409FF" w:rsidRDefault="00C409FF" w:rsidP="00CA4694">
      <w:pPr>
        <w:spacing w:line="259" w:lineRule="auto"/>
        <w:rPr>
          <w:rFonts w:ascii="Tw Cen MT" w:eastAsia="Tw Cen MT" w:hAnsi="Tw Cen MT" w:cs="Tw Cen MT"/>
          <w:color w:val="000000" w:themeColor="text1"/>
        </w:rPr>
      </w:pPr>
    </w:p>
    <w:p w14:paraId="769375C4" w14:textId="2612ADE2" w:rsidR="00CA4694" w:rsidRDefault="00C409FF" w:rsidP="00CA4694">
      <w:pPr>
        <w:spacing w:line="259" w:lineRule="auto"/>
        <w:rPr>
          <w:rFonts w:ascii="Tw Cen MT" w:eastAsia="Tw Cen MT" w:hAnsi="Tw Cen MT" w:cs="Tw Cen MT"/>
          <w:color w:val="000000" w:themeColor="text1"/>
        </w:rPr>
      </w:pPr>
      <w:r>
        <w:rPr>
          <w:rFonts w:ascii="Tw Cen MT" w:eastAsia="Tw Cen MT" w:hAnsi="Tw Cen MT" w:cs="Tw Cen MT"/>
          <w:color w:val="000000" w:themeColor="text1"/>
        </w:rPr>
        <w:t xml:space="preserve">The sections below include more </w:t>
      </w:r>
      <w:r w:rsidR="00CA4694" w:rsidRPr="00EB096D">
        <w:rPr>
          <w:rFonts w:ascii="Tw Cen MT" w:eastAsia="Tw Cen MT" w:hAnsi="Tw Cen MT" w:cs="Tw Cen MT"/>
          <w:color w:val="000000" w:themeColor="text1"/>
        </w:rPr>
        <w:t>information o</w:t>
      </w:r>
      <w:r>
        <w:rPr>
          <w:rFonts w:ascii="Tw Cen MT" w:eastAsia="Tw Cen MT" w:hAnsi="Tw Cen MT" w:cs="Tw Cen MT"/>
          <w:color w:val="000000" w:themeColor="text1"/>
        </w:rPr>
        <w:t>n</w:t>
      </w:r>
      <w:r w:rsidR="00CA4694" w:rsidRPr="00EB096D">
        <w:rPr>
          <w:rFonts w:ascii="Tw Cen MT" w:eastAsia="Tw Cen MT" w:hAnsi="Tw Cen MT" w:cs="Tw Cen MT"/>
          <w:color w:val="000000" w:themeColor="text1"/>
        </w:rPr>
        <w:t xml:space="preserve"> each model along with specific examples from existing programs</w:t>
      </w:r>
      <w:r>
        <w:rPr>
          <w:rFonts w:ascii="Tw Cen MT" w:eastAsia="Tw Cen MT" w:hAnsi="Tw Cen MT" w:cs="Tw Cen MT"/>
          <w:color w:val="000000" w:themeColor="text1"/>
        </w:rPr>
        <w:t xml:space="preserve"> across the United States.</w:t>
      </w:r>
    </w:p>
    <w:p w14:paraId="18548BA9" w14:textId="77777777" w:rsidR="00C409FF" w:rsidRDefault="00C409FF" w:rsidP="00CA4694">
      <w:pPr>
        <w:pBdr>
          <w:bottom w:val="single" w:sz="6" w:space="1" w:color="auto"/>
        </w:pBdr>
        <w:spacing w:line="259" w:lineRule="auto"/>
        <w:rPr>
          <w:rFonts w:ascii="Tw Cen MT" w:eastAsia="Tw Cen MT" w:hAnsi="Tw Cen MT" w:cs="Tw Cen MT"/>
          <w:color w:val="000000" w:themeColor="text1"/>
        </w:rPr>
      </w:pPr>
    </w:p>
    <w:p w14:paraId="71480F61" w14:textId="77777777" w:rsidR="00C409FF" w:rsidRPr="00EB096D" w:rsidRDefault="00C409FF" w:rsidP="00CA4694">
      <w:pPr>
        <w:spacing w:line="259" w:lineRule="auto"/>
        <w:rPr>
          <w:rFonts w:ascii="Tw Cen MT" w:eastAsia="Tw Cen MT" w:hAnsi="Tw Cen MT" w:cs="Tw Cen MT"/>
          <w:color w:val="000000" w:themeColor="text1"/>
        </w:rPr>
      </w:pPr>
    </w:p>
    <w:p w14:paraId="1219CAAE" w14:textId="77777777" w:rsidR="00CA4694" w:rsidRPr="00C409FF" w:rsidRDefault="00CA4694" w:rsidP="00CA4694">
      <w:pPr>
        <w:pStyle w:val="ListParagraph"/>
        <w:numPr>
          <w:ilvl w:val="0"/>
          <w:numId w:val="2"/>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Connecting Community to Resources</w:t>
      </w:r>
    </w:p>
    <w:p w14:paraId="02812D09" w14:textId="77777777" w:rsidR="00CA4694" w:rsidRPr="00EB096D" w:rsidRDefault="00CA4694" w:rsidP="00CA4694">
      <w:pPr>
        <w:spacing w:line="259" w:lineRule="auto"/>
        <w:rPr>
          <w:rFonts w:ascii="Tw Cen MT" w:eastAsia="Tw Cen MT" w:hAnsi="Tw Cen MT" w:cs="Tw Cen MT"/>
          <w:color w:val="000000" w:themeColor="text1"/>
        </w:rPr>
      </w:pPr>
      <w:r w:rsidRPr="00EB096D">
        <w:rPr>
          <w:rFonts w:ascii="Tw Cen MT" w:eastAsia="Tw Cen MT" w:hAnsi="Tw Cen MT" w:cs="Tw Cen MT"/>
          <w:color w:val="000000" w:themeColor="text1"/>
        </w:rPr>
        <w:t xml:space="preserve">In this model, the ambassadors’ primary function is to distribute information or resources during a specific activation period. Examples of this model in other cities include either pairing volunteers with community members (e.g., NYC) or ad-hoc outreach on the street (e.g., Phoenix). </w:t>
      </w:r>
    </w:p>
    <w:p w14:paraId="30A9721C" w14:textId="77777777" w:rsidR="00CA4694" w:rsidRPr="00EB096D" w:rsidRDefault="00CA4694" w:rsidP="00CA4694">
      <w:pPr>
        <w:spacing w:line="259" w:lineRule="auto"/>
        <w:rPr>
          <w:rFonts w:ascii="Tw Cen MT" w:eastAsia="Tw Cen MT" w:hAnsi="Tw Cen MT" w:cs="Tw Cen MT"/>
          <w:color w:val="000000" w:themeColor="text1"/>
        </w:rPr>
      </w:pPr>
      <w:r w:rsidRPr="00EB096D">
        <w:rPr>
          <w:rFonts w:ascii="Tw Cen MT" w:eastAsia="Tw Cen MT" w:hAnsi="Tw Cen MT" w:cs="Tw Cen MT"/>
          <w:color w:val="000000" w:themeColor="text1"/>
        </w:rPr>
        <w:t xml:space="preserve">In the past, C3 has played a similar role (e.g., distributing test kits, directing community members to vaccination clinics, etc.) and has familiarity in this space. </w:t>
      </w:r>
    </w:p>
    <w:p w14:paraId="6F8B6CB8" w14:textId="77777777" w:rsidR="00CA4694" w:rsidRPr="00EB096D" w:rsidRDefault="00CA4694" w:rsidP="00CA4694">
      <w:pPr>
        <w:spacing w:line="259" w:lineRule="auto"/>
        <w:rPr>
          <w:rFonts w:ascii="Tw Cen MT" w:eastAsia="Tw Cen MT" w:hAnsi="Tw Cen MT" w:cs="Tw Cen MT"/>
          <w:color w:val="000000" w:themeColor="text1"/>
        </w:rPr>
      </w:pPr>
    </w:p>
    <w:tbl>
      <w:tblPr>
        <w:tblW w:w="10440" w:type="dxa"/>
        <w:jc w:val="center"/>
        <w:tblLook w:val="04A0" w:firstRow="1" w:lastRow="0" w:firstColumn="1" w:lastColumn="0" w:noHBand="0" w:noVBand="1"/>
      </w:tblPr>
      <w:tblGrid>
        <w:gridCol w:w="1810"/>
        <w:gridCol w:w="1250"/>
        <w:gridCol w:w="1350"/>
        <w:gridCol w:w="1980"/>
        <w:gridCol w:w="4050"/>
      </w:tblGrid>
      <w:tr w:rsidR="00CA4694" w:rsidRPr="00EB096D" w14:paraId="4F18FF08" w14:textId="77777777" w:rsidTr="003B2E47">
        <w:trPr>
          <w:trHeight w:val="557"/>
          <w:tblHeader/>
          <w:jc w:val="center"/>
        </w:trPr>
        <w:tc>
          <w:tcPr>
            <w:tcW w:w="1810" w:type="dxa"/>
            <w:tcBorders>
              <w:top w:val="single" w:sz="4" w:space="0" w:color="auto"/>
              <w:left w:val="single" w:sz="4" w:space="0" w:color="auto"/>
              <w:bottom w:val="nil"/>
              <w:right w:val="single" w:sz="4" w:space="0" w:color="auto"/>
            </w:tcBorders>
            <w:shd w:val="clear" w:color="auto" w:fill="4472C4" w:themeFill="accent1"/>
            <w:vAlign w:val="center"/>
            <w:hideMark/>
          </w:tcPr>
          <w:p w14:paraId="52D6C9CD"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Program</w:t>
            </w:r>
          </w:p>
        </w:tc>
        <w:tc>
          <w:tcPr>
            <w:tcW w:w="1250" w:type="dxa"/>
            <w:tcBorders>
              <w:top w:val="single" w:sz="4" w:space="0" w:color="auto"/>
              <w:left w:val="nil"/>
              <w:bottom w:val="nil"/>
              <w:right w:val="single" w:sz="4" w:space="0" w:color="auto"/>
            </w:tcBorders>
            <w:shd w:val="clear" w:color="auto" w:fill="4472C4" w:themeFill="accent1"/>
            <w:vAlign w:val="center"/>
            <w:hideMark/>
          </w:tcPr>
          <w:p w14:paraId="15089A29"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Lead</w:t>
            </w:r>
          </w:p>
        </w:tc>
        <w:tc>
          <w:tcPr>
            <w:tcW w:w="1350" w:type="dxa"/>
            <w:tcBorders>
              <w:top w:val="single" w:sz="4" w:space="0" w:color="auto"/>
              <w:left w:val="nil"/>
              <w:bottom w:val="nil"/>
              <w:right w:val="single" w:sz="4" w:space="0" w:color="auto"/>
            </w:tcBorders>
            <w:shd w:val="clear" w:color="auto" w:fill="4472C4" w:themeFill="accent1"/>
            <w:vAlign w:val="center"/>
            <w:hideMark/>
          </w:tcPr>
          <w:p w14:paraId="060EE4D3"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Activation Status</w:t>
            </w:r>
          </w:p>
        </w:tc>
        <w:tc>
          <w:tcPr>
            <w:tcW w:w="1980" w:type="dxa"/>
            <w:tcBorders>
              <w:top w:val="single" w:sz="4" w:space="0" w:color="auto"/>
              <w:left w:val="nil"/>
              <w:bottom w:val="nil"/>
              <w:right w:val="single" w:sz="4" w:space="0" w:color="auto"/>
            </w:tcBorders>
            <w:shd w:val="clear" w:color="auto" w:fill="4472C4" w:themeFill="accent1"/>
            <w:vAlign w:val="center"/>
            <w:hideMark/>
          </w:tcPr>
          <w:p w14:paraId="046D2289"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Primary Focus</w:t>
            </w:r>
          </w:p>
        </w:tc>
        <w:tc>
          <w:tcPr>
            <w:tcW w:w="4050" w:type="dxa"/>
            <w:tcBorders>
              <w:top w:val="single" w:sz="4" w:space="0" w:color="auto"/>
              <w:left w:val="nil"/>
              <w:bottom w:val="nil"/>
              <w:right w:val="single" w:sz="4" w:space="0" w:color="auto"/>
            </w:tcBorders>
            <w:shd w:val="clear" w:color="auto" w:fill="4472C4" w:themeFill="accent1"/>
            <w:vAlign w:val="center"/>
            <w:hideMark/>
          </w:tcPr>
          <w:p w14:paraId="69D297DE"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Community Engagement Approach</w:t>
            </w:r>
          </w:p>
        </w:tc>
      </w:tr>
      <w:tr w:rsidR="00CA4694" w:rsidRPr="00EB096D" w14:paraId="020233F9" w14:textId="77777777" w:rsidTr="003B2E47">
        <w:trPr>
          <w:trHeight w:val="1394"/>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CB884"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Be A Buddy</w:t>
            </w:r>
          </w:p>
          <w:p w14:paraId="563F54ED" w14:textId="77777777" w:rsidR="00CA4694" w:rsidRPr="00EB096D" w:rsidRDefault="00CA4694" w:rsidP="003B2E47">
            <w:pPr>
              <w:rPr>
                <w:rFonts w:ascii="Tw Cen MT" w:eastAsia="Tw Cen MT" w:hAnsi="Tw Cen MT" w:cs="Tw Cen MT"/>
                <w:b/>
                <w:bCs/>
                <w:color w:val="000000"/>
              </w:rPr>
            </w:pPr>
            <w:r w:rsidRPr="00EB096D">
              <w:rPr>
                <w:rFonts w:ascii="Tw Cen MT" w:eastAsia="Tw Cen MT" w:hAnsi="Tw Cen MT" w:cs="Tw Cen MT"/>
                <w:b/>
                <w:bCs/>
                <w:color w:val="000000"/>
              </w:rPr>
              <w:t>(NYC)</w:t>
            </w:r>
          </w:p>
        </w:tc>
        <w:tc>
          <w:tcPr>
            <w:tcW w:w="1250" w:type="dxa"/>
            <w:tcBorders>
              <w:top w:val="single" w:sz="4" w:space="0" w:color="auto"/>
              <w:left w:val="nil"/>
              <w:bottom w:val="single" w:sz="4" w:space="0" w:color="auto"/>
              <w:right w:val="single" w:sz="4" w:space="0" w:color="auto"/>
            </w:tcBorders>
            <w:shd w:val="clear" w:color="auto" w:fill="FFFFFF" w:themeFill="background1"/>
            <w:hideMark/>
          </w:tcPr>
          <w:p w14:paraId="56A9F20C"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Municipal, CBOs</w:t>
            </w:r>
          </w:p>
        </w:tc>
        <w:tc>
          <w:tcPr>
            <w:tcW w:w="1350" w:type="dxa"/>
            <w:tcBorders>
              <w:top w:val="single" w:sz="4" w:space="0" w:color="auto"/>
              <w:left w:val="nil"/>
              <w:bottom w:val="single" w:sz="4" w:space="0" w:color="auto"/>
              <w:right w:val="single" w:sz="4" w:space="0" w:color="auto"/>
            </w:tcBorders>
            <w:shd w:val="clear" w:color="auto" w:fill="FFFFFF" w:themeFill="background1"/>
            <w:hideMark/>
          </w:tcPr>
          <w:p w14:paraId="50B78A0E"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Summer</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14:paraId="2C3810CE"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Community Cohesion, heat resilience</w:t>
            </w:r>
          </w:p>
        </w:tc>
        <w:tc>
          <w:tcPr>
            <w:tcW w:w="4050" w:type="dxa"/>
            <w:tcBorders>
              <w:top w:val="single" w:sz="4" w:space="0" w:color="auto"/>
              <w:left w:val="nil"/>
              <w:bottom w:val="single" w:sz="4" w:space="0" w:color="auto"/>
              <w:right w:val="single" w:sz="4" w:space="0" w:color="auto"/>
            </w:tcBorders>
            <w:shd w:val="clear" w:color="auto" w:fill="FFFFFF" w:themeFill="background1"/>
            <w:hideMark/>
          </w:tcPr>
          <w:p w14:paraId="7DE980E1" w14:textId="77777777" w:rsidR="00CA4694" w:rsidRPr="00EB096D" w:rsidRDefault="00CA4694" w:rsidP="003B2E47">
            <w:pPr>
              <w:rPr>
                <w:rFonts w:ascii="Tw Cen MT" w:eastAsia="Tw Cen MT" w:hAnsi="Tw Cen MT" w:cs="Tw Cen MT"/>
                <w:color w:val="000000"/>
              </w:rPr>
            </w:pPr>
            <w:r w:rsidRPr="00EB096D">
              <w:rPr>
                <w:rFonts w:ascii="Tw Cen MT" w:hAnsi="Tw Cen MT" w:cs="Calibri"/>
                <w:color w:val="000000"/>
              </w:rPr>
              <w:t>Paired volunteers with at-risk community members. Volunteers conducted wellness checks by phone or in-person to community members during extreme heat days.</w:t>
            </w:r>
          </w:p>
        </w:tc>
      </w:tr>
      <w:tr w:rsidR="00CA4694" w:rsidRPr="00EB096D" w14:paraId="23AF1CD8" w14:textId="77777777" w:rsidTr="003B2E47">
        <w:trPr>
          <w:trHeight w:val="1664"/>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913A"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We’re Cool</w:t>
            </w:r>
          </w:p>
          <w:p w14:paraId="2A2039A3"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(Phoenix)</w:t>
            </w:r>
          </w:p>
        </w:tc>
        <w:tc>
          <w:tcPr>
            <w:tcW w:w="1250" w:type="dxa"/>
            <w:tcBorders>
              <w:top w:val="single" w:sz="4" w:space="0" w:color="auto"/>
              <w:left w:val="nil"/>
              <w:bottom w:val="single" w:sz="4" w:space="0" w:color="auto"/>
              <w:right w:val="single" w:sz="4" w:space="0" w:color="auto"/>
            </w:tcBorders>
            <w:shd w:val="clear" w:color="auto" w:fill="FFFFFF" w:themeFill="background1"/>
          </w:tcPr>
          <w:p w14:paraId="314FEB59"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Municipal</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62047398"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Summer</w:t>
            </w:r>
          </w:p>
        </w:tc>
        <w:tc>
          <w:tcPr>
            <w:tcW w:w="1980" w:type="dxa"/>
            <w:tcBorders>
              <w:top w:val="single" w:sz="4" w:space="0" w:color="auto"/>
              <w:left w:val="nil"/>
              <w:bottom w:val="single" w:sz="4" w:space="0" w:color="auto"/>
              <w:right w:val="single" w:sz="4" w:space="0" w:color="auto"/>
            </w:tcBorders>
            <w:shd w:val="clear" w:color="auto" w:fill="FFFFFF" w:themeFill="background1"/>
          </w:tcPr>
          <w:p w14:paraId="5FD38C3F"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Climate risk communication, heat resilience</w:t>
            </w:r>
          </w:p>
        </w:tc>
        <w:tc>
          <w:tcPr>
            <w:tcW w:w="4050" w:type="dxa"/>
            <w:tcBorders>
              <w:top w:val="single" w:sz="4" w:space="0" w:color="auto"/>
              <w:left w:val="nil"/>
              <w:bottom w:val="single" w:sz="4" w:space="0" w:color="auto"/>
              <w:right w:val="single" w:sz="4" w:space="0" w:color="auto"/>
            </w:tcBorders>
            <w:shd w:val="clear" w:color="auto" w:fill="FFFFFF" w:themeFill="background1"/>
          </w:tcPr>
          <w:p w14:paraId="51B83AA8"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Volunteers are on-the-ground distributing cooling resources, maps to cooling centers, and educating residents about heat risk; the program targets underserved and unsheltered populations.</w:t>
            </w:r>
          </w:p>
        </w:tc>
      </w:tr>
      <w:tr w:rsidR="00CA4694" w:rsidRPr="00EB096D" w14:paraId="07486E37" w14:textId="77777777" w:rsidTr="003B2E47">
        <w:trPr>
          <w:trHeight w:val="1142"/>
          <w:jc w:val="center"/>
        </w:trPr>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FF24DD5"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Community Emergency Response Team (CERT)</w:t>
            </w:r>
          </w:p>
        </w:tc>
        <w:tc>
          <w:tcPr>
            <w:tcW w:w="1250" w:type="dxa"/>
            <w:tcBorders>
              <w:top w:val="single" w:sz="4" w:space="0" w:color="auto"/>
              <w:left w:val="nil"/>
              <w:bottom w:val="single" w:sz="4" w:space="0" w:color="auto"/>
              <w:right w:val="single" w:sz="4" w:space="0" w:color="auto"/>
            </w:tcBorders>
            <w:shd w:val="clear" w:color="auto" w:fill="FFFFFF" w:themeFill="background1"/>
          </w:tcPr>
          <w:p w14:paraId="5DA0A32B"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National, Municipal chapters</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76A08AB3" w14:textId="43366159" w:rsidR="00CA4694" w:rsidRPr="00EB096D" w:rsidRDefault="00CA4694" w:rsidP="003B2E47">
            <w:pPr>
              <w:rPr>
                <w:rFonts w:ascii="Tw Cen MT" w:eastAsia="Tw Cen MT" w:hAnsi="Tw Cen MT" w:cs="Tw Cen MT"/>
              </w:rPr>
            </w:pPr>
            <w:r w:rsidRPr="00EB096D">
              <w:rPr>
                <w:rFonts w:ascii="Tw Cen MT" w:eastAsia="Tw Cen MT" w:hAnsi="Tw Cen MT" w:cs="Tw Cen MT"/>
              </w:rPr>
              <w:t>Incidence</w:t>
            </w:r>
            <w:r w:rsidR="00C409FF">
              <w:rPr>
                <w:rFonts w:ascii="Tw Cen MT" w:eastAsia="Tw Cen MT" w:hAnsi="Tw Cen MT" w:cs="Tw Cen MT"/>
              </w:rPr>
              <w:t>-</w:t>
            </w:r>
            <w:r w:rsidRPr="00EB096D">
              <w:rPr>
                <w:rFonts w:ascii="Tw Cen MT" w:eastAsia="Tw Cen MT" w:hAnsi="Tw Cen MT" w:cs="Tw Cen MT"/>
              </w:rPr>
              <w:t xml:space="preserve">based </w:t>
            </w:r>
          </w:p>
        </w:tc>
        <w:tc>
          <w:tcPr>
            <w:tcW w:w="1980" w:type="dxa"/>
            <w:tcBorders>
              <w:top w:val="single" w:sz="4" w:space="0" w:color="auto"/>
              <w:left w:val="nil"/>
              <w:bottom w:val="single" w:sz="4" w:space="0" w:color="auto"/>
              <w:right w:val="single" w:sz="4" w:space="0" w:color="auto"/>
            </w:tcBorders>
            <w:shd w:val="clear" w:color="auto" w:fill="FFFFFF" w:themeFill="background1"/>
          </w:tcPr>
          <w:p w14:paraId="07F5EC51"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Emergency preparedness and response</w:t>
            </w:r>
          </w:p>
        </w:tc>
        <w:tc>
          <w:tcPr>
            <w:tcW w:w="4050" w:type="dxa"/>
            <w:tcBorders>
              <w:top w:val="single" w:sz="4" w:space="0" w:color="auto"/>
              <w:left w:val="nil"/>
              <w:bottom w:val="single" w:sz="4" w:space="0" w:color="auto"/>
              <w:right w:val="single" w:sz="4" w:space="0" w:color="auto"/>
            </w:tcBorders>
            <w:shd w:val="clear" w:color="auto" w:fill="FFFFFF" w:themeFill="background1"/>
          </w:tcPr>
          <w:p w14:paraId="00779980" w14:textId="1106FF05" w:rsidR="00CA4694" w:rsidRPr="00EB096D" w:rsidRDefault="00CA4694" w:rsidP="003B2E47">
            <w:pPr>
              <w:rPr>
                <w:rFonts w:ascii="Tw Cen MT" w:eastAsia="Tw Cen MT" w:hAnsi="Tw Cen MT" w:cs="Tw Cen MT"/>
              </w:rPr>
            </w:pPr>
            <w:r w:rsidRPr="00EB096D">
              <w:rPr>
                <w:rFonts w:ascii="Tw Cen MT" w:eastAsia="Tw Cen MT" w:hAnsi="Tw Cen MT" w:cs="Tw Cen MT"/>
              </w:rPr>
              <w:t xml:space="preserve">Volunteers are trained through the FEMA curriculum. During periods of activation, volunteers support municipal emergency responders, distribute safety materials, host events, etc. </w:t>
            </w:r>
          </w:p>
        </w:tc>
      </w:tr>
    </w:tbl>
    <w:p w14:paraId="00B8D5A1" w14:textId="77777777" w:rsidR="00CA4694" w:rsidRPr="00EB096D" w:rsidRDefault="00CA4694" w:rsidP="00CA4694">
      <w:pPr>
        <w:pStyle w:val="ListParagraph"/>
        <w:spacing w:line="259" w:lineRule="auto"/>
        <w:rPr>
          <w:rFonts w:ascii="Tw Cen MT" w:eastAsia="Tw Cen MT" w:hAnsi="Tw Cen MT" w:cs="Tw Cen MT"/>
          <w:color w:val="000000" w:themeColor="text1"/>
        </w:rPr>
      </w:pPr>
    </w:p>
    <w:p w14:paraId="4DE82F75" w14:textId="77777777" w:rsidR="00CA4694" w:rsidRPr="00C409FF" w:rsidRDefault="00CA4694" w:rsidP="00CA4694">
      <w:pPr>
        <w:pStyle w:val="ListParagraph"/>
        <w:numPr>
          <w:ilvl w:val="0"/>
          <w:numId w:val="2"/>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Collecting Information</w:t>
      </w:r>
    </w:p>
    <w:p w14:paraId="5F7172E8" w14:textId="15F6186F" w:rsidR="00CA4694" w:rsidRPr="00EB096D" w:rsidRDefault="00CA4694" w:rsidP="00CA4694">
      <w:pPr>
        <w:spacing w:line="259" w:lineRule="auto"/>
        <w:rPr>
          <w:rFonts w:ascii="Tw Cen MT" w:eastAsia="Tw Cen MT" w:hAnsi="Tw Cen MT" w:cs="Tw Cen MT"/>
          <w:color w:val="000000" w:themeColor="text1"/>
        </w:rPr>
      </w:pPr>
      <w:r w:rsidRPr="00EB096D">
        <w:rPr>
          <w:rFonts w:ascii="Tw Cen MT" w:eastAsia="Tw Cen MT" w:hAnsi="Tw Cen MT" w:cs="Tw Cen MT"/>
          <w:color w:val="000000" w:themeColor="text1"/>
        </w:rPr>
        <w:t xml:space="preserve">Whereas </w:t>
      </w:r>
      <w:r w:rsidR="00C14F19">
        <w:rPr>
          <w:rFonts w:ascii="Tw Cen MT" w:eastAsia="Tw Cen MT" w:hAnsi="Tw Cen MT" w:cs="Tw Cen MT"/>
          <w:color w:val="000000" w:themeColor="text1"/>
        </w:rPr>
        <w:t>the first model,</w:t>
      </w:r>
      <w:r w:rsidRPr="00C14F19">
        <w:rPr>
          <w:rFonts w:ascii="Tw Cen MT" w:eastAsia="Tw Cen MT" w:hAnsi="Tw Cen MT" w:cs="Tw Cen MT"/>
          <w:i/>
          <w:iCs/>
          <w:color w:val="000000" w:themeColor="text1"/>
        </w:rPr>
        <w:t xml:space="preserve"> Connecting Community to Resources</w:t>
      </w:r>
      <w:r w:rsidR="00C14F19">
        <w:rPr>
          <w:rFonts w:ascii="Tw Cen MT" w:eastAsia="Tw Cen MT" w:hAnsi="Tw Cen MT" w:cs="Tw Cen MT"/>
          <w:color w:val="000000" w:themeColor="text1"/>
        </w:rPr>
        <w:t xml:space="preserve">, </w:t>
      </w:r>
      <w:r w:rsidRPr="00EB096D">
        <w:rPr>
          <w:rFonts w:ascii="Tw Cen MT" w:eastAsia="Tw Cen MT" w:hAnsi="Tw Cen MT" w:cs="Tw Cen MT"/>
          <w:color w:val="000000" w:themeColor="text1"/>
        </w:rPr>
        <w:t xml:space="preserve">was more focused on one-way communication (i.e., ambassadors sharing information/resources with the community), this model is structured to allow two-way communication. The ambassadors/corps members are tasked with </w:t>
      </w:r>
      <w:r w:rsidRPr="00EB096D">
        <w:rPr>
          <w:rFonts w:ascii="Tw Cen MT" w:eastAsia="Tw Cen MT" w:hAnsi="Tw Cen MT" w:cs="Tw Cen MT"/>
          <w:color w:val="000000" w:themeColor="text1"/>
        </w:rPr>
        <w:lastRenderedPageBreak/>
        <w:t xml:space="preserve">gathering community input or feedback, often to help inform assessments or planning processes. Ambassadors frequently present </w:t>
      </w:r>
      <w:r w:rsidR="00C14F19">
        <w:rPr>
          <w:rFonts w:ascii="Tw Cen MT" w:eastAsia="Tw Cen MT" w:hAnsi="Tw Cen MT" w:cs="Tw Cen MT"/>
          <w:color w:val="000000" w:themeColor="text1"/>
        </w:rPr>
        <w:t xml:space="preserve">at </w:t>
      </w:r>
      <w:r w:rsidRPr="00EB096D">
        <w:rPr>
          <w:rFonts w:ascii="Tw Cen MT" w:eastAsia="Tw Cen MT" w:hAnsi="Tw Cen MT" w:cs="Tw Cen MT"/>
          <w:color w:val="000000" w:themeColor="text1"/>
        </w:rPr>
        <w:t>or host community meetings, distribute surveys, conduct interviews, host small-group conversations, etc. Often, these programs are developed as part of</w:t>
      </w:r>
    </w:p>
    <w:p w14:paraId="1E522259" w14:textId="77777777" w:rsidR="00CA4694" w:rsidRPr="00EB096D" w:rsidRDefault="00CA4694" w:rsidP="00CA4694">
      <w:pPr>
        <w:spacing w:line="259" w:lineRule="auto"/>
        <w:rPr>
          <w:rFonts w:ascii="Tw Cen MT" w:eastAsia="Tw Cen MT" w:hAnsi="Tw Cen MT" w:cs="Tw Cen MT"/>
          <w:color w:val="000000" w:themeColor="text1"/>
        </w:rPr>
      </w:pPr>
      <w:r w:rsidRPr="00EB096D">
        <w:rPr>
          <w:rFonts w:ascii="Tw Cen MT" w:eastAsia="Tw Cen MT" w:hAnsi="Tw Cen MT" w:cs="Tw Cen MT"/>
          <w:color w:val="000000" w:themeColor="text1"/>
        </w:rPr>
        <w:t xml:space="preserve">In the past, C3 has played a similar role (e.g., on-the-ground engagement with residents to inform participatory budgeting) and has familiarity in this space. </w:t>
      </w:r>
    </w:p>
    <w:p w14:paraId="4FFC71AB" w14:textId="77777777" w:rsidR="00CA4694" w:rsidRPr="00EB096D" w:rsidRDefault="00CA4694" w:rsidP="00CA4694">
      <w:pPr>
        <w:spacing w:line="259" w:lineRule="auto"/>
        <w:rPr>
          <w:rFonts w:ascii="Tw Cen MT" w:eastAsia="Tw Cen MT" w:hAnsi="Tw Cen MT" w:cs="Tw Cen MT"/>
          <w:color w:val="000000" w:themeColor="text1"/>
        </w:rPr>
      </w:pPr>
    </w:p>
    <w:tbl>
      <w:tblPr>
        <w:tblW w:w="10955" w:type="dxa"/>
        <w:jc w:val="center"/>
        <w:tblLook w:val="04A0" w:firstRow="1" w:lastRow="0" w:firstColumn="1" w:lastColumn="0" w:noHBand="0" w:noVBand="1"/>
      </w:tblPr>
      <w:tblGrid>
        <w:gridCol w:w="2080"/>
        <w:gridCol w:w="1555"/>
        <w:gridCol w:w="1502"/>
        <w:gridCol w:w="2322"/>
        <w:gridCol w:w="3496"/>
      </w:tblGrid>
      <w:tr w:rsidR="00CA4694" w:rsidRPr="00EB096D" w14:paraId="4D1AD409" w14:textId="77777777" w:rsidTr="003B2E47">
        <w:trPr>
          <w:trHeight w:val="557"/>
          <w:tblHeader/>
          <w:jc w:val="center"/>
        </w:trPr>
        <w:tc>
          <w:tcPr>
            <w:tcW w:w="2080" w:type="dxa"/>
            <w:tcBorders>
              <w:top w:val="single" w:sz="4" w:space="0" w:color="auto"/>
              <w:left w:val="single" w:sz="4" w:space="0" w:color="auto"/>
              <w:bottom w:val="nil"/>
              <w:right w:val="single" w:sz="4" w:space="0" w:color="auto"/>
            </w:tcBorders>
            <w:shd w:val="clear" w:color="auto" w:fill="4472C4" w:themeFill="accent1"/>
            <w:vAlign w:val="center"/>
            <w:hideMark/>
          </w:tcPr>
          <w:p w14:paraId="22A195F3"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Program</w:t>
            </w:r>
          </w:p>
        </w:tc>
        <w:tc>
          <w:tcPr>
            <w:tcW w:w="1555" w:type="dxa"/>
            <w:tcBorders>
              <w:top w:val="single" w:sz="4" w:space="0" w:color="auto"/>
              <w:left w:val="nil"/>
              <w:bottom w:val="nil"/>
              <w:right w:val="single" w:sz="4" w:space="0" w:color="auto"/>
            </w:tcBorders>
            <w:shd w:val="clear" w:color="auto" w:fill="4472C4" w:themeFill="accent1"/>
            <w:vAlign w:val="center"/>
            <w:hideMark/>
          </w:tcPr>
          <w:p w14:paraId="2C02432D"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Lead</w:t>
            </w:r>
          </w:p>
        </w:tc>
        <w:tc>
          <w:tcPr>
            <w:tcW w:w="1502" w:type="dxa"/>
            <w:tcBorders>
              <w:top w:val="single" w:sz="4" w:space="0" w:color="auto"/>
              <w:left w:val="nil"/>
              <w:bottom w:val="nil"/>
              <w:right w:val="single" w:sz="4" w:space="0" w:color="auto"/>
            </w:tcBorders>
            <w:shd w:val="clear" w:color="auto" w:fill="4472C4" w:themeFill="accent1"/>
            <w:vAlign w:val="center"/>
            <w:hideMark/>
          </w:tcPr>
          <w:p w14:paraId="6DD7DC27"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Activation Status</w:t>
            </w:r>
          </w:p>
        </w:tc>
        <w:tc>
          <w:tcPr>
            <w:tcW w:w="2322" w:type="dxa"/>
            <w:tcBorders>
              <w:top w:val="single" w:sz="4" w:space="0" w:color="auto"/>
              <w:left w:val="nil"/>
              <w:bottom w:val="nil"/>
              <w:right w:val="single" w:sz="4" w:space="0" w:color="auto"/>
            </w:tcBorders>
            <w:shd w:val="clear" w:color="auto" w:fill="4472C4" w:themeFill="accent1"/>
            <w:vAlign w:val="center"/>
            <w:hideMark/>
          </w:tcPr>
          <w:p w14:paraId="0D25B6F6"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Primary Focus</w:t>
            </w:r>
          </w:p>
        </w:tc>
        <w:tc>
          <w:tcPr>
            <w:tcW w:w="3496" w:type="dxa"/>
            <w:tcBorders>
              <w:top w:val="single" w:sz="4" w:space="0" w:color="auto"/>
              <w:left w:val="nil"/>
              <w:bottom w:val="nil"/>
              <w:right w:val="single" w:sz="4" w:space="0" w:color="auto"/>
            </w:tcBorders>
            <w:shd w:val="clear" w:color="auto" w:fill="4472C4" w:themeFill="accent1"/>
            <w:vAlign w:val="center"/>
            <w:hideMark/>
          </w:tcPr>
          <w:p w14:paraId="7AE8B954"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Community Engagement Approach</w:t>
            </w:r>
          </w:p>
        </w:tc>
      </w:tr>
      <w:tr w:rsidR="00CA4694" w:rsidRPr="00EB096D" w14:paraId="5E5A442C" w14:textId="77777777" w:rsidTr="003B2E47">
        <w:trPr>
          <w:trHeight w:val="1394"/>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53550" w14:textId="6793EEDC" w:rsidR="00CA4694" w:rsidRPr="00EB096D" w:rsidRDefault="008266CE" w:rsidP="003B2E47">
            <w:pPr>
              <w:rPr>
                <w:rFonts w:ascii="Tw Cen MT" w:eastAsia="Tw Cen MT" w:hAnsi="Tw Cen MT" w:cs="Tw Cen MT"/>
                <w:b/>
                <w:bCs/>
                <w:color w:val="000000"/>
              </w:rPr>
            </w:pPr>
            <w:r>
              <w:rPr>
                <w:rFonts w:ascii="Tw Cen MT" w:eastAsia="Tw Cen MT" w:hAnsi="Tw Cen MT" w:cs="Tw Cen MT"/>
                <w:b/>
                <w:bCs/>
              </w:rPr>
              <w:t xml:space="preserve">Four cities in </w:t>
            </w:r>
            <w:r w:rsidR="00CA4694" w:rsidRPr="00EB096D">
              <w:rPr>
                <w:rFonts w:ascii="Tw Cen MT" w:eastAsia="Tw Cen MT" w:hAnsi="Tw Cen MT" w:cs="Tw Cen MT"/>
                <w:b/>
                <w:bCs/>
              </w:rPr>
              <w:t xml:space="preserve">Connecticut </w:t>
            </w:r>
            <w:r w:rsidRPr="008266CE">
              <w:rPr>
                <w:rFonts w:ascii="Tw Cen MT" w:eastAsia="Tw Cen MT" w:hAnsi="Tw Cen MT" w:cs="Tw Cen MT"/>
              </w:rPr>
              <w:br/>
            </w:r>
            <w:r w:rsidR="00CA4694" w:rsidRPr="008266CE">
              <w:rPr>
                <w:rFonts w:ascii="Tw Cen MT" w:eastAsia="Tw Cen MT" w:hAnsi="Tw Cen MT" w:cs="Tw Cen MT"/>
              </w:rPr>
              <w:t>(Bridgeport, New Haven, New London &amp; Norwich)</w:t>
            </w:r>
          </w:p>
        </w:tc>
        <w:tc>
          <w:tcPr>
            <w:tcW w:w="1555" w:type="dxa"/>
            <w:tcBorders>
              <w:top w:val="single" w:sz="4" w:space="0" w:color="auto"/>
              <w:left w:val="nil"/>
              <w:bottom w:val="single" w:sz="4" w:space="0" w:color="auto"/>
              <w:right w:val="single" w:sz="4" w:space="0" w:color="auto"/>
            </w:tcBorders>
            <w:shd w:val="clear" w:color="auto" w:fill="FFFFFF" w:themeFill="background1"/>
          </w:tcPr>
          <w:p w14:paraId="0F1B01F3"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Municipal, NOAA, CBOs</w:t>
            </w:r>
          </w:p>
        </w:tc>
        <w:tc>
          <w:tcPr>
            <w:tcW w:w="1502" w:type="dxa"/>
            <w:tcBorders>
              <w:top w:val="single" w:sz="4" w:space="0" w:color="auto"/>
              <w:left w:val="nil"/>
              <w:bottom w:val="single" w:sz="4" w:space="0" w:color="auto"/>
              <w:right w:val="single" w:sz="4" w:space="0" w:color="auto"/>
            </w:tcBorders>
            <w:shd w:val="clear" w:color="auto" w:fill="FFFFFF" w:themeFill="background1"/>
          </w:tcPr>
          <w:p w14:paraId="1A26907C" w14:textId="23534826"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Project</w:t>
            </w:r>
            <w:r w:rsidR="00C409FF">
              <w:rPr>
                <w:rFonts w:ascii="Tw Cen MT" w:eastAsia="Tw Cen MT" w:hAnsi="Tw Cen MT" w:cs="Tw Cen MT"/>
              </w:rPr>
              <w:t>-</w:t>
            </w:r>
            <w:r w:rsidRPr="00EB096D">
              <w:rPr>
                <w:rFonts w:ascii="Tw Cen MT" w:eastAsia="Tw Cen MT" w:hAnsi="Tw Cen MT" w:cs="Tw Cen MT"/>
              </w:rPr>
              <w:t>based</w:t>
            </w:r>
          </w:p>
        </w:tc>
        <w:tc>
          <w:tcPr>
            <w:tcW w:w="2322" w:type="dxa"/>
            <w:tcBorders>
              <w:top w:val="single" w:sz="4" w:space="0" w:color="auto"/>
              <w:left w:val="nil"/>
              <w:bottom w:val="single" w:sz="4" w:space="0" w:color="auto"/>
              <w:right w:val="single" w:sz="4" w:space="0" w:color="auto"/>
            </w:tcBorders>
            <w:shd w:val="clear" w:color="auto" w:fill="FFFFFF" w:themeFill="background1"/>
          </w:tcPr>
          <w:p w14:paraId="5481AA48"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Climate risk communication and planning for community resilience</w:t>
            </w:r>
          </w:p>
        </w:tc>
        <w:tc>
          <w:tcPr>
            <w:tcW w:w="3496" w:type="dxa"/>
            <w:tcBorders>
              <w:top w:val="single" w:sz="4" w:space="0" w:color="auto"/>
              <w:left w:val="nil"/>
              <w:bottom w:val="single" w:sz="4" w:space="0" w:color="auto"/>
              <w:right w:val="single" w:sz="4" w:space="0" w:color="auto"/>
            </w:tcBorders>
            <w:shd w:val="clear" w:color="auto" w:fill="FFFFFF" w:themeFill="background1"/>
          </w:tcPr>
          <w:p w14:paraId="0D6E5FB4"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Community climate events and workshops</w:t>
            </w:r>
          </w:p>
        </w:tc>
      </w:tr>
      <w:tr w:rsidR="00CA4694" w:rsidRPr="00EB096D" w14:paraId="3AD93E86" w14:textId="77777777" w:rsidTr="003B2E47">
        <w:trPr>
          <w:trHeight w:val="1484"/>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2646"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MetroWest Climate Equity Liaisons</w:t>
            </w:r>
          </w:p>
        </w:tc>
        <w:tc>
          <w:tcPr>
            <w:tcW w:w="1555" w:type="dxa"/>
            <w:tcBorders>
              <w:top w:val="single" w:sz="4" w:space="0" w:color="auto"/>
              <w:left w:val="nil"/>
              <w:bottom w:val="single" w:sz="4" w:space="0" w:color="auto"/>
              <w:right w:val="single" w:sz="4" w:space="0" w:color="auto"/>
            </w:tcBorders>
            <w:shd w:val="clear" w:color="auto" w:fill="FFFFFF" w:themeFill="background1"/>
          </w:tcPr>
          <w:p w14:paraId="4927208C"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Municipal</w:t>
            </w:r>
          </w:p>
        </w:tc>
        <w:tc>
          <w:tcPr>
            <w:tcW w:w="1502" w:type="dxa"/>
            <w:tcBorders>
              <w:top w:val="single" w:sz="4" w:space="0" w:color="auto"/>
              <w:left w:val="nil"/>
              <w:bottom w:val="single" w:sz="4" w:space="0" w:color="auto"/>
              <w:right w:val="single" w:sz="4" w:space="0" w:color="auto"/>
            </w:tcBorders>
            <w:shd w:val="clear" w:color="auto" w:fill="FFFFFF" w:themeFill="background1"/>
          </w:tcPr>
          <w:p w14:paraId="7D1881E2" w14:textId="1C1EF707" w:rsidR="00CA4694" w:rsidRPr="00EB096D" w:rsidRDefault="00CA4694" w:rsidP="003B2E47">
            <w:pPr>
              <w:rPr>
                <w:rFonts w:ascii="Tw Cen MT" w:eastAsia="Tw Cen MT" w:hAnsi="Tw Cen MT" w:cs="Tw Cen MT"/>
              </w:rPr>
            </w:pPr>
            <w:r w:rsidRPr="00EB096D">
              <w:rPr>
                <w:rFonts w:ascii="Tw Cen MT" w:eastAsia="Tw Cen MT" w:hAnsi="Tw Cen MT" w:cs="Tw Cen MT"/>
              </w:rPr>
              <w:t>Project</w:t>
            </w:r>
            <w:r w:rsidR="00C409FF">
              <w:rPr>
                <w:rFonts w:ascii="Tw Cen MT" w:eastAsia="Tw Cen MT" w:hAnsi="Tw Cen MT" w:cs="Tw Cen MT"/>
              </w:rPr>
              <w:t>-</w:t>
            </w:r>
            <w:r w:rsidRPr="00EB096D">
              <w:rPr>
                <w:rFonts w:ascii="Tw Cen MT" w:eastAsia="Tw Cen MT" w:hAnsi="Tw Cen MT" w:cs="Tw Cen MT"/>
              </w:rPr>
              <w:t>Based</w:t>
            </w:r>
          </w:p>
        </w:tc>
        <w:tc>
          <w:tcPr>
            <w:tcW w:w="2322" w:type="dxa"/>
            <w:tcBorders>
              <w:top w:val="single" w:sz="4" w:space="0" w:color="auto"/>
              <w:left w:val="nil"/>
              <w:bottom w:val="single" w:sz="4" w:space="0" w:color="auto"/>
              <w:right w:val="single" w:sz="4" w:space="0" w:color="auto"/>
            </w:tcBorders>
            <w:shd w:val="clear" w:color="auto" w:fill="FFFFFF" w:themeFill="background1"/>
          </w:tcPr>
          <w:p w14:paraId="303BB1F0"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Building relationship with communities, facilitating climate resilience and action</w:t>
            </w:r>
          </w:p>
        </w:tc>
        <w:tc>
          <w:tcPr>
            <w:tcW w:w="3496" w:type="dxa"/>
            <w:tcBorders>
              <w:top w:val="single" w:sz="4" w:space="0" w:color="auto"/>
              <w:left w:val="nil"/>
              <w:bottom w:val="single" w:sz="4" w:space="0" w:color="auto"/>
              <w:right w:val="single" w:sz="4" w:space="0" w:color="auto"/>
            </w:tcBorders>
            <w:shd w:val="clear" w:color="auto" w:fill="FFFFFF" w:themeFill="background1"/>
          </w:tcPr>
          <w:p w14:paraId="7D262152"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Online/on-paper survey to get feedback on community's climate-change-related experiences; small-group conversations to identify local climate action</w:t>
            </w:r>
          </w:p>
        </w:tc>
      </w:tr>
    </w:tbl>
    <w:p w14:paraId="3B407EB6" w14:textId="77777777" w:rsidR="00CA4694" w:rsidRPr="00EB096D" w:rsidRDefault="00CA4694" w:rsidP="00CA4694">
      <w:pPr>
        <w:spacing w:line="259" w:lineRule="auto"/>
        <w:rPr>
          <w:rFonts w:ascii="Tw Cen MT" w:eastAsia="Tw Cen MT" w:hAnsi="Tw Cen MT" w:cs="Tw Cen MT"/>
          <w:color w:val="000000" w:themeColor="text1"/>
        </w:rPr>
      </w:pPr>
    </w:p>
    <w:p w14:paraId="3449D267" w14:textId="77777777" w:rsidR="00CA4694" w:rsidRPr="00C409FF" w:rsidRDefault="00CA4694" w:rsidP="00CA4694">
      <w:pPr>
        <w:pStyle w:val="ListParagraph"/>
        <w:numPr>
          <w:ilvl w:val="0"/>
          <w:numId w:val="2"/>
        </w:numPr>
        <w:spacing w:line="259" w:lineRule="auto"/>
        <w:rPr>
          <w:rFonts w:ascii="Tw Cen MT" w:eastAsia="Tw Cen MT" w:hAnsi="Tw Cen MT" w:cs="Tw Cen MT"/>
          <w:b/>
          <w:bCs/>
          <w:color w:val="4472C4" w:themeColor="accent1"/>
          <w:sz w:val="32"/>
          <w:szCs w:val="32"/>
        </w:rPr>
      </w:pPr>
      <w:r w:rsidRPr="00C409FF">
        <w:rPr>
          <w:rFonts w:ascii="Tw Cen MT" w:eastAsia="Tw Cen MT" w:hAnsi="Tw Cen MT" w:cs="Tw Cen MT"/>
          <w:b/>
          <w:bCs/>
          <w:color w:val="4472C4" w:themeColor="accent1"/>
          <w:sz w:val="32"/>
          <w:szCs w:val="32"/>
        </w:rPr>
        <w:t xml:space="preserve">Creating a Community Action Project </w:t>
      </w:r>
    </w:p>
    <w:p w14:paraId="0F197B6F" w14:textId="1D1416B8" w:rsidR="00CA4694" w:rsidRPr="00EB096D" w:rsidRDefault="00CA4694" w:rsidP="00CA4694">
      <w:pPr>
        <w:spacing w:line="259" w:lineRule="auto"/>
        <w:rPr>
          <w:rFonts w:ascii="Tw Cen MT" w:eastAsia="Tw Cen MT" w:hAnsi="Tw Cen MT" w:cs="Tw Cen MT"/>
          <w:color w:val="000000" w:themeColor="text1"/>
        </w:rPr>
      </w:pPr>
      <w:r w:rsidRPr="00EB096D">
        <w:rPr>
          <w:rFonts w:ascii="Tw Cen MT" w:eastAsia="Tw Cen MT" w:hAnsi="Tw Cen MT" w:cs="Tw Cen MT"/>
          <w:color w:val="000000" w:themeColor="text1"/>
        </w:rPr>
        <w:t xml:space="preserve">This model differs from the two described above in that community engagement is done through a community action project led by the ambassadors. These programs are designed to empower residents to take climate action in their communities. It is worth noting that the City of Austin’s Ambassador program evolved from Model 2 (collecting community input) to this model of creating an action project; the ambassadors were originally recruited to collect feedback on the City’s Climate &amp; Equity Plan but evolved into developing their own climate action projects. </w:t>
      </w:r>
    </w:p>
    <w:p w14:paraId="5FA105C6" w14:textId="77777777" w:rsidR="00CA4694" w:rsidRPr="00EB096D" w:rsidRDefault="00CA4694" w:rsidP="00CA4694">
      <w:pPr>
        <w:spacing w:line="259" w:lineRule="auto"/>
        <w:rPr>
          <w:rFonts w:ascii="Tw Cen MT" w:eastAsia="Tw Cen MT" w:hAnsi="Tw Cen MT" w:cs="Tw Cen MT"/>
          <w:color w:val="000000" w:themeColor="text1"/>
        </w:rPr>
      </w:pPr>
    </w:p>
    <w:tbl>
      <w:tblPr>
        <w:tblW w:w="10955" w:type="dxa"/>
        <w:jc w:val="center"/>
        <w:tblLook w:val="04A0" w:firstRow="1" w:lastRow="0" w:firstColumn="1" w:lastColumn="0" w:noHBand="0" w:noVBand="1"/>
      </w:tblPr>
      <w:tblGrid>
        <w:gridCol w:w="2080"/>
        <w:gridCol w:w="1555"/>
        <w:gridCol w:w="1502"/>
        <w:gridCol w:w="2322"/>
        <w:gridCol w:w="3496"/>
      </w:tblGrid>
      <w:tr w:rsidR="00CA4694" w:rsidRPr="00EB096D" w14:paraId="5F483C2A" w14:textId="77777777" w:rsidTr="003B2E47">
        <w:trPr>
          <w:trHeight w:val="557"/>
          <w:tblHeader/>
          <w:jc w:val="center"/>
        </w:trPr>
        <w:tc>
          <w:tcPr>
            <w:tcW w:w="2080" w:type="dxa"/>
            <w:tcBorders>
              <w:top w:val="single" w:sz="4" w:space="0" w:color="auto"/>
              <w:left w:val="single" w:sz="4" w:space="0" w:color="auto"/>
              <w:bottom w:val="nil"/>
              <w:right w:val="single" w:sz="4" w:space="0" w:color="auto"/>
            </w:tcBorders>
            <w:shd w:val="clear" w:color="auto" w:fill="4472C4" w:themeFill="accent1"/>
            <w:vAlign w:val="center"/>
            <w:hideMark/>
          </w:tcPr>
          <w:p w14:paraId="3F675C77"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Program</w:t>
            </w:r>
          </w:p>
        </w:tc>
        <w:tc>
          <w:tcPr>
            <w:tcW w:w="1555" w:type="dxa"/>
            <w:tcBorders>
              <w:top w:val="single" w:sz="4" w:space="0" w:color="auto"/>
              <w:left w:val="nil"/>
              <w:bottom w:val="nil"/>
              <w:right w:val="single" w:sz="4" w:space="0" w:color="auto"/>
            </w:tcBorders>
            <w:shd w:val="clear" w:color="auto" w:fill="4472C4" w:themeFill="accent1"/>
            <w:vAlign w:val="center"/>
            <w:hideMark/>
          </w:tcPr>
          <w:p w14:paraId="7B530B68"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Lead</w:t>
            </w:r>
          </w:p>
        </w:tc>
        <w:tc>
          <w:tcPr>
            <w:tcW w:w="1502" w:type="dxa"/>
            <w:tcBorders>
              <w:top w:val="single" w:sz="4" w:space="0" w:color="auto"/>
              <w:left w:val="nil"/>
              <w:bottom w:val="nil"/>
              <w:right w:val="single" w:sz="4" w:space="0" w:color="auto"/>
            </w:tcBorders>
            <w:shd w:val="clear" w:color="auto" w:fill="4472C4" w:themeFill="accent1"/>
            <w:vAlign w:val="center"/>
            <w:hideMark/>
          </w:tcPr>
          <w:p w14:paraId="3BE98E3E"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Activation Status</w:t>
            </w:r>
          </w:p>
        </w:tc>
        <w:tc>
          <w:tcPr>
            <w:tcW w:w="2322" w:type="dxa"/>
            <w:tcBorders>
              <w:top w:val="single" w:sz="4" w:space="0" w:color="auto"/>
              <w:left w:val="nil"/>
              <w:bottom w:val="nil"/>
              <w:right w:val="single" w:sz="4" w:space="0" w:color="auto"/>
            </w:tcBorders>
            <w:shd w:val="clear" w:color="auto" w:fill="4472C4" w:themeFill="accent1"/>
            <w:vAlign w:val="center"/>
            <w:hideMark/>
          </w:tcPr>
          <w:p w14:paraId="0A02A4F0"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Primary Focus</w:t>
            </w:r>
          </w:p>
        </w:tc>
        <w:tc>
          <w:tcPr>
            <w:tcW w:w="3496" w:type="dxa"/>
            <w:tcBorders>
              <w:top w:val="single" w:sz="4" w:space="0" w:color="auto"/>
              <w:left w:val="nil"/>
              <w:bottom w:val="nil"/>
              <w:right w:val="single" w:sz="4" w:space="0" w:color="auto"/>
            </w:tcBorders>
            <w:shd w:val="clear" w:color="auto" w:fill="4472C4" w:themeFill="accent1"/>
            <w:vAlign w:val="center"/>
            <w:hideMark/>
          </w:tcPr>
          <w:p w14:paraId="227E3872" w14:textId="77777777" w:rsidR="00CA4694" w:rsidRPr="00EB096D" w:rsidRDefault="00CA4694" w:rsidP="003B2E47">
            <w:pPr>
              <w:jc w:val="center"/>
              <w:rPr>
                <w:rFonts w:ascii="Tw Cen MT" w:eastAsia="Tw Cen MT" w:hAnsi="Tw Cen MT" w:cs="Tw Cen MT"/>
                <w:b/>
                <w:bCs/>
                <w:color w:val="FFFFFF" w:themeColor="background1"/>
              </w:rPr>
            </w:pPr>
            <w:r w:rsidRPr="00EB096D">
              <w:rPr>
                <w:rFonts w:ascii="Tw Cen MT" w:eastAsia="Tw Cen MT" w:hAnsi="Tw Cen MT" w:cs="Tw Cen MT"/>
                <w:b/>
                <w:bCs/>
                <w:color w:val="FFFFFF" w:themeColor="background1"/>
              </w:rPr>
              <w:t>Community Engagement Approach</w:t>
            </w:r>
          </w:p>
        </w:tc>
      </w:tr>
      <w:tr w:rsidR="00CA4694" w:rsidRPr="00EB096D" w14:paraId="5FD906EF" w14:textId="77777777" w:rsidTr="003B2E47">
        <w:trPr>
          <w:trHeight w:val="1394"/>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8ED6C" w14:textId="77777777" w:rsidR="00CA4694" w:rsidRPr="00EB096D" w:rsidRDefault="00CA4694" w:rsidP="003B2E47">
            <w:pPr>
              <w:rPr>
                <w:rFonts w:ascii="Tw Cen MT" w:eastAsia="Tw Cen MT" w:hAnsi="Tw Cen MT" w:cs="Tw Cen MT"/>
                <w:b/>
                <w:bCs/>
                <w:color w:val="000000"/>
              </w:rPr>
            </w:pPr>
            <w:r w:rsidRPr="00EB096D">
              <w:rPr>
                <w:rFonts w:ascii="Tw Cen MT" w:eastAsia="Tw Cen MT" w:hAnsi="Tw Cen MT" w:cs="Tw Cen MT"/>
                <w:b/>
                <w:bCs/>
              </w:rPr>
              <w:t>Climate Forward Ambassadors (City of Sommerville)</w:t>
            </w:r>
          </w:p>
        </w:tc>
        <w:tc>
          <w:tcPr>
            <w:tcW w:w="1555" w:type="dxa"/>
            <w:tcBorders>
              <w:top w:val="single" w:sz="4" w:space="0" w:color="auto"/>
              <w:left w:val="nil"/>
              <w:bottom w:val="single" w:sz="4" w:space="0" w:color="auto"/>
              <w:right w:val="single" w:sz="4" w:space="0" w:color="auto"/>
            </w:tcBorders>
            <w:shd w:val="clear" w:color="auto" w:fill="FFFFFF" w:themeFill="background1"/>
          </w:tcPr>
          <w:p w14:paraId="2FF94418"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Municipal</w:t>
            </w:r>
          </w:p>
        </w:tc>
        <w:tc>
          <w:tcPr>
            <w:tcW w:w="1502" w:type="dxa"/>
            <w:tcBorders>
              <w:top w:val="single" w:sz="4" w:space="0" w:color="auto"/>
              <w:left w:val="nil"/>
              <w:bottom w:val="single" w:sz="4" w:space="0" w:color="auto"/>
              <w:right w:val="single" w:sz="4" w:space="0" w:color="auto"/>
            </w:tcBorders>
            <w:shd w:val="clear" w:color="auto" w:fill="FFFFFF" w:themeFill="background1"/>
          </w:tcPr>
          <w:p w14:paraId="08B609F0"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Jan to June</w:t>
            </w:r>
          </w:p>
        </w:tc>
        <w:tc>
          <w:tcPr>
            <w:tcW w:w="2322" w:type="dxa"/>
            <w:tcBorders>
              <w:top w:val="single" w:sz="4" w:space="0" w:color="auto"/>
              <w:left w:val="nil"/>
              <w:bottom w:val="single" w:sz="4" w:space="0" w:color="auto"/>
              <w:right w:val="single" w:sz="4" w:space="0" w:color="auto"/>
            </w:tcBorders>
            <w:shd w:val="clear" w:color="auto" w:fill="FFFFFF" w:themeFill="background1"/>
          </w:tcPr>
          <w:p w14:paraId="4AA7FF06"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Acting on the climate crisis in their own lives and communities, community action project</w:t>
            </w:r>
          </w:p>
        </w:tc>
        <w:tc>
          <w:tcPr>
            <w:tcW w:w="3496" w:type="dxa"/>
            <w:tcBorders>
              <w:top w:val="single" w:sz="4" w:space="0" w:color="auto"/>
              <w:left w:val="nil"/>
              <w:bottom w:val="single" w:sz="4" w:space="0" w:color="auto"/>
              <w:right w:val="single" w:sz="4" w:space="0" w:color="auto"/>
            </w:tcBorders>
            <w:shd w:val="clear" w:color="auto" w:fill="FFFFFF" w:themeFill="background1"/>
          </w:tcPr>
          <w:p w14:paraId="29EF63EB" w14:textId="77777777" w:rsidR="00CA4694" w:rsidRPr="00EB096D" w:rsidRDefault="00CA4694" w:rsidP="003B2E47">
            <w:pPr>
              <w:rPr>
                <w:rFonts w:ascii="Tw Cen MT" w:eastAsia="Tw Cen MT" w:hAnsi="Tw Cen MT" w:cs="Tw Cen MT"/>
                <w:color w:val="000000"/>
              </w:rPr>
            </w:pPr>
            <w:r w:rsidRPr="00EB096D">
              <w:rPr>
                <w:rFonts w:ascii="Tw Cen MT" w:eastAsia="Tw Cen MT" w:hAnsi="Tw Cen MT" w:cs="Tw Cen MT"/>
              </w:rPr>
              <w:t>Engage with others to spread awareness and interest in climate action (engaging family and friends in a climate conversation) </w:t>
            </w:r>
          </w:p>
        </w:tc>
      </w:tr>
      <w:tr w:rsidR="00CA4694" w:rsidRPr="00EB096D" w14:paraId="7E5DF2F7" w14:textId="77777777" w:rsidTr="003B2E47">
        <w:trPr>
          <w:trHeight w:val="1484"/>
          <w:jc w:val="center"/>
        </w:trPr>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EBF37D" w14:textId="77777777" w:rsidR="00CA4694" w:rsidRPr="00EB096D" w:rsidRDefault="00CA4694" w:rsidP="003B2E47">
            <w:pPr>
              <w:rPr>
                <w:rFonts w:ascii="Tw Cen MT" w:eastAsia="Tw Cen MT" w:hAnsi="Tw Cen MT" w:cs="Tw Cen MT"/>
                <w:b/>
                <w:bCs/>
              </w:rPr>
            </w:pPr>
            <w:r w:rsidRPr="00EB096D">
              <w:rPr>
                <w:rFonts w:ascii="Tw Cen MT" w:eastAsia="Tw Cen MT" w:hAnsi="Tw Cen MT" w:cs="Tw Cen MT"/>
                <w:b/>
                <w:bCs/>
              </w:rPr>
              <w:t>Climate Forward Ambassadors (City of Austin)</w:t>
            </w:r>
          </w:p>
        </w:tc>
        <w:tc>
          <w:tcPr>
            <w:tcW w:w="1555" w:type="dxa"/>
            <w:tcBorders>
              <w:top w:val="single" w:sz="4" w:space="0" w:color="auto"/>
              <w:left w:val="nil"/>
              <w:bottom w:val="single" w:sz="4" w:space="0" w:color="auto"/>
              <w:right w:val="single" w:sz="4" w:space="0" w:color="auto"/>
            </w:tcBorders>
            <w:shd w:val="clear" w:color="auto" w:fill="FFFFFF" w:themeFill="background1"/>
          </w:tcPr>
          <w:p w14:paraId="2DE8D522"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Municipal</w:t>
            </w:r>
          </w:p>
        </w:tc>
        <w:tc>
          <w:tcPr>
            <w:tcW w:w="1502" w:type="dxa"/>
            <w:tcBorders>
              <w:top w:val="single" w:sz="4" w:space="0" w:color="auto"/>
              <w:left w:val="nil"/>
              <w:bottom w:val="single" w:sz="4" w:space="0" w:color="auto"/>
              <w:right w:val="single" w:sz="4" w:space="0" w:color="auto"/>
            </w:tcBorders>
            <w:shd w:val="clear" w:color="auto" w:fill="FFFFFF" w:themeFill="background1"/>
          </w:tcPr>
          <w:p w14:paraId="58454135"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Aug to Jan</w:t>
            </w:r>
          </w:p>
        </w:tc>
        <w:tc>
          <w:tcPr>
            <w:tcW w:w="2322" w:type="dxa"/>
            <w:tcBorders>
              <w:top w:val="single" w:sz="4" w:space="0" w:color="auto"/>
              <w:left w:val="nil"/>
              <w:bottom w:val="single" w:sz="4" w:space="0" w:color="auto"/>
              <w:right w:val="single" w:sz="4" w:space="0" w:color="auto"/>
            </w:tcBorders>
            <w:shd w:val="clear" w:color="auto" w:fill="FFFFFF" w:themeFill="background1"/>
          </w:tcPr>
          <w:p w14:paraId="73E36F82"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Build relationships and conduct outreach, community action project</w:t>
            </w:r>
          </w:p>
        </w:tc>
        <w:tc>
          <w:tcPr>
            <w:tcW w:w="3496" w:type="dxa"/>
            <w:tcBorders>
              <w:top w:val="single" w:sz="4" w:space="0" w:color="auto"/>
              <w:left w:val="nil"/>
              <w:bottom w:val="single" w:sz="4" w:space="0" w:color="auto"/>
              <w:right w:val="single" w:sz="4" w:space="0" w:color="auto"/>
            </w:tcBorders>
            <w:shd w:val="clear" w:color="auto" w:fill="FFFFFF" w:themeFill="background1"/>
          </w:tcPr>
          <w:p w14:paraId="7739C596" w14:textId="77777777" w:rsidR="00CA4694" w:rsidRPr="00EB096D" w:rsidRDefault="00CA4694" w:rsidP="003B2E47">
            <w:pPr>
              <w:rPr>
                <w:rFonts w:ascii="Tw Cen MT" w:eastAsia="Tw Cen MT" w:hAnsi="Tw Cen MT" w:cs="Tw Cen MT"/>
              </w:rPr>
            </w:pPr>
            <w:r w:rsidRPr="00EB096D">
              <w:rPr>
                <w:rFonts w:ascii="Tw Cen MT" w:eastAsia="Tw Cen MT" w:hAnsi="Tw Cen MT" w:cs="Tw Cen MT"/>
              </w:rPr>
              <w:t>Volunteers present at/host community events, interview community members</w:t>
            </w:r>
          </w:p>
        </w:tc>
      </w:tr>
    </w:tbl>
    <w:p w14:paraId="753EE816" w14:textId="77777777" w:rsidR="00CA4694" w:rsidRPr="00EB096D" w:rsidRDefault="00CA4694" w:rsidP="00CA4694">
      <w:pPr>
        <w:spacing w:line="259" w:lineRule="auto"/>
        <w:rPr>
          <w:rFonts w:ascii="Tw Cen MT" w:eastAsia="Tw Cen MT" w:hAnsi="Tw Cen MT" w:cs="Tw Cen MT"/>
          <w:color w:val="000000" w:themeColor="text1"/>
        </w:rPr>
      </w:pPr>
    </w:p>
    <w:p w14:paraId="64350F90" w14:textId="789B9223" w:rsidR="008266CE" w:rsidRDefault="008266CE">
      <w:pPr>
        <w:spacing w:after="160" w:line="259" w:lineRule="auto"/>
        <w:rPr>
          <w:rFonts w:ascii="Tw Cen MT" w:eastAsia="Tw Cen MT" w:hAnsi="Tw Cen MT" w:cs="Tw Cen MT"/>
          <w:color w:val="000000" w:themeColor="text1"/>
        </w:rPr>
      </w:pPr>
    </w:p>
    <w:sectPr w:rsidR="0082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651"/>
    <w:multiLevelType w:val="hybridMultilevel"/>
    <w:tmpl w:val="E710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201B4"/>
    <w:multiLevelType w:val="hybridMultilevel"/>
    <w:tmpl w:val="0C3E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D797E"/>
    <w:multiLevelType w:val="hybridMultilevel"/>
    <w:tmpl w:val="FAFC2358"/>
    <w:lvl w:ilvl="0" w:tplc="08A6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B15D3"/>
    <w:multiLevelType w:val="hybridMultilevel"/>
    <w:tmpl w:val="B2560BDA"/>
    <w:lvl w:ilvl="0" w:tplc="EB9A0A8C">
      <w:start w:val="1"/>
      <w:numFmt w:val="bullet"/>
      <w:lvlText w:val=""/>
      <w:lvlJc w:val="left"/>
      <w:pPr>
        <w:ind w:left="720" w:hanging="360"/>
      </w:pPr>
      <w:rPr>
        <w:rFonts w:ascii="Symbol" w:hAnsi="Symbol" w:hint="default"/>
      </w:rPr>
    </w:lvl>
    <w:lvl w:ilvl="1" w:tplc="1856E4FE">
      <w:start w:val="1"/>
      <w:numFmt w:val="bullet"/>
      <w:lvlText w:val="o"/>
      <w:lvlJc w:val="left"/>
      <w:pPr>
        <w:ind w:left="1440" w:hanging="360"/>
      </w:pPr>
      <w:rPr>
        <w:rFonts w:ascii="Courier New" w:hAnsi="Courier New" w:hint="default"/>
      </w:rPr>
    </w:lvl>
    <w:lvl w:ilvl="2" w:tplc="A6F2FD82">
      <w:start w:val="1"/>
      <w:numFmt w:val="bullet"/>
      <w:lvlText w:val=""/>
      <w:lvlJc w:val="left"/>
      <w:pPr>
        <w:ind w:left="2160" w:hanging="360"/>
      </w:pPr>
      <w:rPr>
        <w:rFonts w:ascii="Wingdings" w:hAnsi="Wingdings" w:hint="default"/>
      </w:rPr>
    </w:lvl>
    <w:lvl w:ilvl="3" w:tplc="266AFF46">
      <w:start w:val="1"/>
      <w:numFmt w:val="bullet"/>
      <w:lvlText w:val=""/>
      <w:lvlJc w:val="left"/>
      <w:pPr>
        <w:ind w:left="2880" w:hanging="360"/>
      </w:pPr>
      <w:rPr>
        <w:rFonts w:ascii="Symbol" w:hAnsi="Symbol" w:hint="default"/>
      </w:rPr>
    </w:lvl>
    <w:lvl w:ilvl="4" w:tplc="D21C1B0A">
      <w:start w:val="1"/>
      <w:numFmt w:val="bullet"/>
      <w:lvlText w:val="o"/>
      <w:lvlJc w:val="left"/>
      <w:pPr>
        <w:ind w:left="3600" w:hanging="360"/>
      </w:pPr>
      <w:rPr>
        <w:rFonts w:ascii="Courier New" w:hAnsi="Courier New" w:hint="default"/>
      </w:rPr>
    </w:lvl>
    <w:lvl w:ilvl="5" w:tplc="B1D24836">
      <w:start w:val="1"/>
      <w:numFmt w:val="bullet"/>
      <w:lvlText w:val=""/>
      <w:lvlJc w:val="left"/>
      <w:pPr>
        <w:ind w:left="4320" w:hanging="360"/>
      </w:pPr>
      <w:rPr>
        <w:rFonts w:ascii="Wingdings" w:hAnsi="Wingdings" w:hint="default"/>
      </w:rPr>
    </w:lvl>
    <w:lvl w:ilvl="6" w:tplc="B260A5A8">
      <w:start w:val="1"/>
      <w:numFmt w:val="bullet"/>
      <w:lvlText w:val=""/>
      <w:lvlJc w:val="left"/>
      <w:pPr>
        <w:ind w:left="5040" w:hanging="360"/>
      </w:pPr>
      <w:rPr>
        <w:rFonts w:ascii="Symbol" w:hAnsi="Symbol" w:hint="default"/>
      </w:rPr>
    </w:lvl>
    <w:lvl w:ilvl="7" w:tplc="AB9C0A04">
      <w:start w:val="1"/>
      <w:numFmt w:val="bullet"/>
      <w:lvlText w:val="o"/>
      <w:lvlJc w:val="left"/>
      <w:pPr>
        <w:ind w:left="5760" w:hanging="360"/>
      </w:pPr>
      <w:rPr>
        <w:rFonts w:ascii="Courier New" w:hAnsi="Courier New" w:hint="default"/>
      </w:rPr>
    </w:lvl>
    <w:lvl w:ilvl="8" w:tplc="B48A90FE">
      <w:start w:val="1"/>
      <w:numFmt w:val="bullet"/>
      <w:lvlText w:val=""/>
      <w:lvlJc w:val="left"/>
      <w:pPr>
        <w:ind w:left="6480" w:hanging="360"/>
      </w:pPr>
      <w:rPr>
        <w:rFonts w:ascii="Wingdings" w:hAnsi="Wingdings" w:hint="default"/>
      </w:rPr>
    </w:lvl>
  </w:abstractNum>
  <w:abstractNum w:abstractNumId="4" w15:restartNumberingAfterBreak="0">
    <w:nsid w:val="51C52D22"/>
    <w:multiLevelType w:val="hybridMultilevel"/>
    <w:tmpl w:val="EFFEAB4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8926F18"/>
    <w:multiLevelType w:val="hybridMultilevel"/>
    <w:tmpl w:val="7D56A7F8"/>
    <w:lvl w:ilvl="0" w:tplc="08A64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53E33"/>
    <w:multiLevelType w:val="hybridMultilevel"/>
    <w:tmpl w:val="8FB21EB2"/>
    <w:lvl w:ilvl="0" w:tplc="E7AA0E0C">
      <w:start w:val="1"/>
      <w:numFmt w:val="bullet"/>
      <w:lvlText w:val=""/>
      <w:lvlJc w:val="left"/>
      <w:pPr>
        <w:ind w:left="720" w:hanging="360"/>
      </w:pPr>
      <w:rPr>
        <w:rFonts w:ascii="Symbol" w:hAnsi="Symbol" w:hint="default"/>
      </w:rPr>
    </w:lvl>
    <w:lvl w:ilvl="1" w:tplc="1EFE70BE">
      <w:start w:val="1"/>
      <w:numFmt w:val="bullet"/>
      <w:lvlText w:val="o"/>
      <w:lvlJc w:val="left"/>
      <w:pPr>
        <w:ind w:left="1440" w:hanging="360"/>
      </w:pPr>
      <w:rPr>
        <w:rFonts w:ascii="Courier New" w:hAnsi="Courier New" w:hint="default"/>
      </w:rPr>
    </w:lvl>
    <w:lvl w:ilvl="2" w:tplc="B6CAEC64">
      <w:start w:val="1"/>
      <w:numFmt w:val="bullet"/>
      <w:lvlText w:val=""/>
      <w:lvlJc w:val="left"/>
      <w:pPr>
        <w:ind w:left="2160" w:hanging="360"/>
      </w:pPr>
      <w:rPr>
        <w:rFonts w:ascii="Wingdings" w:hAnsi="Wingdings" w:hint="default"/>
      </w:rPr>
    </w:lvl>
    <w:lvl w:ilvl="3" w:tplc="43267DCA">
      <w:start w:val="1"/>
      <w:numFmt w:val="bullet"/>
      <w:lvlText w:val=""/>
      <w:lvlJc w:val="left"/>
      <w:pPr>
        <w:ind w:left="2880" w:hanging="360"/>
      </w:pPr>
      <w:rPr>
        <w:rFonts w:ascii="Symbol" w:hAnsi="Symbol" w:hint="default"/>
      </w:rPr>
    </w:lvl>
    <w:lvl w:ilvl="4" w:tplc="319C7DFA">
      <w:start w:val="1"/>
      <w:numFmt w:val="bullet"/>
      <w:lvlText w:val="o"/>
      <w:lvlJc w:val="left"/>
      <w:pPr>
        <w:ind w:left="3600" w:hanging="360"/>
      </w:pPr>
      <w:rPr>
        <w:rFonts w:ascii="Courier New" w:hAnsi="Courier New" w:hint="default"/>
      </w:rPr>
    </w:lvl>
    <w:lvl w:ilvl="5" w:tplc="45B0BE0C">
      <w:start w:val="1"/>
      <w:numFmt w:val="bullet"/>
      <w:lvlText w:val=""/>
      <w:lvlJc w:val="left"/>
      <w:pPr>
        <w:ind w:left="4320" w:hanging="360"/>
      </w:pPr>
      <w:rPr>
        <w:rFonts w:ascii="Wingdings" w:hAnsi="Wingdings" w:hint="default"/>
      </w:rPr>
    </w:lvl>
    <w:lvl w:ilvl="6" w:tplc="8D8CBB7C">
      <w:start w:val="1"/>
      <w:numFmt w:val="bullet"/>
      <w:lvlText w:val=""/>
      <w:lvlJc w:val="left"/>
      <w:pPr>
        <w:ind w:left="5040" w:hanging="360"/>
      </w:pPr>
      <w:rPr>
        <w:rFonts w:ascii="Symbol" w:hAnsi="Symbol" w:hint="default"/>
      </w:rPr>
    </w:lvl>
    <w:lvl w:ilvl="7" w:tplc="32E00F14">
      <w:start w:val="1"/>
      <w:numFmt w:val="bullet"/>
      <w:lvlText w:val="o"/>
      <w:lvlJc w:val="left"/>
      <w:pPr>
        <w:ind w:left="5760" w:hanging="360"/>
      </w:pPr>
      <w:rPr>
        <w:rFonts w:ascii="Courier New" w:hAnsi="Courier New" w:hint="default"/>
      </w:rPr>
    </w:lvl>
    <w:lvl w:ilvl="8" w:tplc="F6547C26">
      <w:start w:val="1"/>
      <w:numFmt w:val="bullet"/>
      <w:lvlText w:val=""/>
      <w:lvlJc w:val="left"/>
      <w:pPr>
        <w:ind w:left="6480" w:hanging="360"/>
      </w:pPr>
      <w:rPr>
        <w:rFonts w:ascii="Wingdings" w:hAnsi="Wingdings" w:hint="default"/>
      </w:rPr>
    </w:lvl>
  </w:abstractNum>
  <w:abstractNum w:abstractNumId="7" w15:restartNumberingAfterBreak="0">
    <w:nsid w:val="7CC557C6"/>
    <w:multiLevelType w:val="hybridMultilevel"/>
    <w:tmpl w:val="28FEEE80"/>
    <w:lvl w:ilvl="0" w:tplc="08A64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5889816">
    <w:abstractNumId w:val="6"/>
  </w:num>
  <w:num w:numId="2" w16cid:durableId="944267112">
    <w:abstractNumId w:val="0"/>
  </w:num>
  <w:num w:numId="3" w16cid:durableId="33164817">
    <w:abstractNumId w:val="3"/>
  </w:num>
  <w:num w:numId="4" w16cid:durableId="1701318831">
    <w:abstractNumId w:val="1"/>
  </w:num>
  <w:num w:numId="5" w16cid:durableId="1529177845">
    <w:abstractNumId w:val="2"/>
  </w:num>
  <w:num w:numId="6" w16cid:durableId="671372269">
    <w:abstractNumId w:val="5"/>
  </w:num>
  <w:num w:numId="7" w16cid:durableId="1720977270">
    <w:abstractNumId w:val="7"/>
  </w:num>
  <w:num w:numId="8" w16cid:durableId="482895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4"/>
    <w:rsid w:val="0002324A"/>
    <w:rsid w:val="000659C9"/>
    <w:rsid w:val="0015529F"/>
    <w:rsid w:val="004D4113"/>
    <w:rsid w:val="00505934"/>
    <w:rsid w:val="008266CE"/>
    <w:rsid w:val="00B16A42"/>
    <w:rsid w:val="00C14F19"/>
    <w:rsid w:val="00C409FF"/>
    <w:rsid w:val="00CA4694"/>
    <w:rsid w:val="00CE538D"/>
    <w:rsid w:val="00DE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3146"/>
  <w15:chartTrackingRefBased/>
  <w15:docId w15:val="{8A0C3749-1DFC-42C8-9E1B-7D20D87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9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A4694"/>
  </w:style>
  <w:style w:type="paragraph" w:styleId="ListParagraph">
    <w:name w:val="List Paragraph"/>
    <w:basedOn w:val="Normal"/>
    <w:uiPriority w:val="34"/>
    <w:qFormat/>
    <w:rsid w:val="00CA4694"/>
    <w:pPr>
      <w:ind w:left="720"/>
      <w:contextualSpacing/>
    </w:pPr>
  </w:style>
  <w:style w:type="paragraph" w:styleId="Title">
    <w:name w:val="Title"/>
    <w:basedOn w:val="Normal"/>
    <w:next w:val="Normal"/>
    <w:link w:val="TitleChar"/>
    <w:uiPriority w:val="10"/>
    <w:qFormat/>
    <w:rsid w:val="001552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2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6B6172A7-7540-4790-810A-F6BFB574BBF8}"/>
</file>

<file path=customXml/itemProps2.xml><?xml version="1.0" encoding="utf-8"?>
<ds:datastoreItem xmlns:ds="http://schemas.openxmlformats.org/officeDocument/2006/customXml" ds:itemID="{47D76753-97BA-46DD-91C9-ACDAAF674B19}"/>
</file>

<file path=customXml/itemProps3.xml><?xml version="1.0" encoding="utf-8"?>
<ds:datastoreItem xmlns:ds="http://schemas.openxmlformats.org/officeDocument/2006/customXml" ds:itemID="{F26E2037-AB0F-44BF-987E-202C25F13B86}"/>
</file>

<file path=docProps/app.xml><?xml version="1.0" encoding="utf-8"?>
<Properties xmlns="http://schemas.openxmlformats.org/officeDocument/2006/extended-properties" xmlns:vt="http://schemas.openxmlformats.org/officeDocument/2006/docPropsVTypes">
  <Template>Normal</Template>
  <TotalTime>47</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Nassar, Julia</dc:creator>
  <cp:keywords/>
  <dc:description/>
  <cp:lastModifiedBy>Nassar, Julia</cp:lastModifiedBy>
  <cp:revision>5</cp:revision>
  <dcterms:created xsi:type="dcterms:W3CDTF">2024-01-05T14:52:00Z</dcterms:created>
  <dcterms:modified xsi:type="dcterms:W3CDTF">2024-01-05T18:28:00Z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ies>
</file>