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EE816" w14:textId="79ED1945" w:rsidR="00CA4694" w:rsidRPr="00B845FE" w:rsidRDefault="00B845FE" w:rsidP="00B845FE">
      <w:pPr>
        <w:spacing w:line="259" w:lineRule="auto"/>
        <w:jc w:val="center"/>
        <w:rPr>
          <w:rFonts w:ascii="Tw Cen MT" w:eastAsia="Tw Cen MT" w:hAnsi="Tw Cen MT" w:cs="Tw Cen MT"/>
          <w:b/>
          <w:bCs/>
          <w:color w:val="000000" w:themeColor="text1"/>
          <w:sz w:val="40"/>
          <w:szCs w:val="40"/>
        </w:rPr>
      </w:pPr>
      <w:r w:rsidRPr="00B845FE">
        <w:rPr>
          <w:rFonts w:ascii="Tw Cen MT" w:eastAsia="Tw Cen MT" w:hAnsi="Tw Cen MT" w:cs="Tw Cen MT"/>
          <w:b/>
          <w:bCs/>
          <w:color w:val="000000" w:themeColor="text1"/>
          <w:sz w:val="40"/>
          <w:szCs w:val="40"/>
        </w:rPr>
        <w:t>Guidance from</w:t>
      </w:r>
      <w:r w:rsidR="00C0569F">
        <w:rPr>
          <w:rFonts w:ascii="Tw Cen MT" w:eastAsia="Tw Cen MT" w:hAnsi="Tw Cen MT" w:cs="Tw Cen MT"/>
          <w:b/>
          <w:bCs/>
          <w:color w:val="000000" w:themeColor="text1"/>
          <w:sz w:val="40"/>
          <w:szCs w:val="40"/>
        </w:rPr>
        <w:t xml:space="preserve"> Community</w:t>
      </w:r>
      <w:r w:rsidRPr="00B845FE">
        <w:rPr>
          <w:rFonts w:ascii="Tw Cen MT" w:eastAsia="Tw Cen MT" w:hAnsi="Tw Cen MT" w:cs="Tw Cen MT"/>
          <w:b/>
          <w:bCs/>
          <w:color w:val="000000" w:themeColor="text1"/>
          <w:sz w:val="40"/>
          <w:szCs w:val="40"/>
        </w:rPr>
        <w:t xml:space="preserve"> Liaison Program Managers</w:t>
      </w:r>
    </w:p>
    <w:p w14:paraId="6B46A466" w14:textId="77777777" w:rsidR="00B845FE" w:rsidRDefault="00B845FE" w:rsidP="00CA4694">
      <w:pPr>
        <w:spacing w:line="259" w:lineRule="auto"/>
        <w:rPr>
          <w:rFonts w:ascii="Tw Cen MT" w:eastAsia="Tw Cen MT" w:hAnsi="Tw Cen MT" w:cs="Tw Cen MT"/>
          <w:color w:val="000000" w:themeColor="text1"/>
        </w:rPr>
      </w:pPr>
    </w:p>
    <w:p w14:paraId="5E79D5ED" w14:textId="563EC528" w:rsidR="008E2B9E" w:rsidRDefault="0019474C" w:rsidP="00C0569F">
      <w:pPr>
        <w:spacing w:line="259" w:lineRule="auto"/>
        <w:rPr>
          <w:rFonts w:ascii="Tw Cen MT" w:eastAsia="Tw Cen MT" w:hAnsi="Tw Cen MT" w:cs="Tw Cen MT"/>
          <w:color w:val="000000" w:themeColor="text1"/>
        </w:rPr>
      </w:pPr>
      <w:r>
        <w:rPr>
          <w:rFonts w:ascii="Tw Cen MT" w:eastAsia="Tw Cen MT" w:hAnsi="Tw Cen MT" w:cs="Tw Cen MT"/>
          <w:color w:val="000000" w:themeColor="text1"/>
        </w:rPr>
        <w:t xml:space="preserve">MAPC conducted a series of interviews with program managers from community liaison programs, including Cambridge, MA; Somerville MA; Austin, TX; and a local chapter of the nationwide </w:t>
      </w:r>
      <w:r w:rsidRPr="0019474C">
        <w:rPr>
          <w:rFonts w:ascii="Tw Cen MT" w:eastAsia="Tw Cen MT" w:hAnsi="Tw Cen MT" w:cs="Tw Cen MT"/>
          <w:color w:val="000000" w:themeColor="text1"/>
        </w:rPr>
        <w:t>Community Engagement Response Team (CERT) program.</w:t>
      </w:r>
      <w:r>
        <w:rPr>
          <w:rFonts w:ascii="Tw Cen MT" w:eastAsia="Tw Cen MT" w:hAnsi="Tw Cen MT" w:cs="Tw Cen MT"/>
          <w:color w:val="000000" w:themeColor="text1"/>
        </w:rPr>
        <w:t xml:space="preserve"> </w:t>
      </w:r>
    </w:p>
    <w:p w14:paraId="4A29EBBD" w14:textId="796AE61C" w:rsidR="0019474C" w:rsidRDefault="0019474C" w:rsidP="00C0569F">
      <w:pPr>
        <w:spacing w:line="259" w:lineRule="auto"/>
        <w:rPr>
          <w:rFonts w:ascii="Tw Cen MT" w:eastAsia="Tw Cen MT" w:hAnsi="Tw Cen MT" w:cs="Tw Cen MT"/>
          <w:color w:val="000000" w:themeColor="text1"/>
        </w:rPr>
      </w:pPr>
      <w:r>
        <w:rPr>
          <w:rFonts w:ascii="Tw Cen MT" w:eastAsia="Tw Cen MT" w:hAnsi="Tw Cen MT" w:cs="Tw Cen MT"/>
          <w:color w:val="000000" w:themeColor="text1"/>
        </w:rPr>
        <w:t xml:space="preserve">These interviews aimed to better understand the program structures, successes, and challenges to offer guidance for future program managers. </w:t>
      </w:r>
      <w:r w:rsidR="00DB0BAC">
        <w:rPr>
          <w:rFonts w:ascii="Tw Cen MT" w:eastAsia="Tw Cen MT" w:hAnsi="Tw Cen MT" w:cs="Tw Cen MT"/>
          <w:color w:val="000000" w:themeColor="text1"/>
        </w:rPr>
        <w:t xml:space="preserve"> </w:t>
      </w:r>
    </w:p>
    <w:p w14:paraId="464D8415" w14:textId="77777777" w:rsidR="00CA4694" w:rsidRDefault="00CA4694" w:rsidP="00CA4694">
      <w:pPr>
        <w:spacing w:line="259" w:lineRule="auto"/>
        <w:rPr>
          <w:rFonts w:ascii="Tw Cen MT" w:eastAsia="Tw Cen MT" w:hAnsi="Tw Cen MT" w:cs="Tw Cen MT"/>
          <w:color w:val="000000" w:themeColor="text1"/>
        </w:rPr>
      </w:pPr>
    </w:p>
    <w:p w14:paraId="26D0EC2A" w14:textId="2192BA30" w:rsidR="00CA4694" w:rsidRDefault="00CA4694" w:rsidP="00CA4694">
      <w:pPr>
        <w:spacing w:line="259" w:lineRule="auto"/>
        <w:rPr>
          <w:rFonts w:ascii="Tw Cen MT" w:eastAsia="Tw Cen MT" w:hAnsi="Tw Cen MT" w:cs="Tw Cen MT"/>
          <w:color w:val="000000" w:themeColor="text1"/>
        </w:rPr>
      </w:pPr>
      <w:r w:rsidRPr="00EB096D">
        <w:rPr>
          <w:rFonts w:ascii="Tw Cen MT" w:eastAsia="Tw Cen MT" w:hAnsi="Tw Cen MT" w:cs="Tw Cen MT"/>
          <w:color w:val="000000" w:themeColor="text1"/>
        </w:rPr>
        <w:t xml:space="preserve">The bullets below summarize the key </w:t>
      </w:r>
      <w:r w:rsidR="0019474C">
        <w:rPr>
          <w:rFonts w:ascii="Tw Cen MT" w:eastAsia="Tw Cen MT" w:hAnsi="Tw Cen MT" w:cs="Tw Cen MT"/>
          <w:color w:val="000000" w:themeColor="text1"/>
        </w:rPr>
        <w:t>reflections</w:t>
      </w:r>
      <w:r w:rsidRPr="00EB096D">
        <w:rPr>
          <w:rFonts w:ascii="Tw Cen MT" w:eastAsia="Tw Cen MT" w:hAnsi="Tw Cen MT" w:cs="Tw Cen MT"/>
          <w:color w:val="000000" w:themeColor="text1"/>
        </w:rPr>
        <w:t xml:space="preserve"> from the interviews</w:t>
      </w:r>
      <w:r w:rsidR="00752CFF">
        <w:rPr>
          <w:rFonts w:ascii="Tw Cen MT" w:eastAsia="Tw Cen MT" w:hAnsi="Tw Cen MT" w:cs="Tw Cen MT"/>
          <w:color w:val="000000" w:themeColor="text1"/>
        </w:rPr>
        <w:t>.</w:t>
      </w:r>
    </w:p>
    <w:p w14:paraId="6020031E" w14:textId="77777777" w:rsidR="00752CFF" w:rsidRDefault="00752CFF" w:rsidP="00CA4694">
      <w:pPr>
        <w:pBdr>
          <w:bottom w:val="single" w:sz="6" w:space="1" w:color="auto"/>
        </w:pBdr>
        <w:spacing w:line="259" w:lineRule="auto"/>
        <w:rPr>
          <w:rFonts w:ascii="Tw Cen MT" w:eastAsia="Tw Cen MT" w:hAnsi="Tw Cen MT" w:cs="Tw Cen MT"/>
          <w:color w:val="000000" w:themeColor="text1"/>
        </w:rPr>
      </w:pPr>
    </w:p>
    <w:p w14:paraId="66AABC8A" w14:textId="77777777" w:rsidR="00752CFF" w:rsidRDefault="00752CFF" w:rsidP="00752CFF">
      <w:pPr>
        <w:rPr>
          <w:rStyle w:val="normaltextrun"/>
          <w:rFonts w:ascii="Tw Cen MT" w:eastAsia="Tw Cen MT" w:hAnsi="Tw Cen MT" w:cs="Tw Cen MT"/>
          <w:b/>
          <w:bCs/>
          <w:color w:val="000000" w:themeColor="text1"/>
        </w:rPr>
      </w:pPr>
    </w:p>
    <w:p w14:paraId="2E15FE3B" w14:textId="5F78DFF4" w:rsidR="0019474C" w:rsidRPr="00752CFF" w:rsidRDefault="00752CFF" w:rsidP="00752CFF">
      <w:pPr>
        <w:rPr>
          <w:rStyle w:val="normaltextrun"/>
          <w:rFonts w:ascii="Tw Cen MT" w:eastAsia="Tw Cen MT" w:hAnsi="Tw Cen MT" w:cs="Tw Cen MT"/>
          <w:color w:val="4472C4" w:themeColor="accent1"/>
          <w:sz w:val="32"/>
          <w:szCs w:val="32"/>
        </w:rPr>
      </w:pPr>
      <w:r>
        <w:rPr>
          <w:rStyle w:val="normaltextrun"/>
          <w:rFonts w:ascii="Tw Cen MT" w:eastAsia="Tw Cen MT" w:hAnsi="Tw Cen MT" w:cs="Tw Cen MT"/>
          <w:b/>
          <w:bCs/>
          <w:color w:val="4472C4" w:themeColor="accent1"/>
          <w:sz w:val="32"/>
          <w:szCs w:val="32"/>
        </w:rPr>
        <w:t>Frequently Cited</w:t>
      </w:r>
      <w:r w:rsidR="0019474C" w:rsidRPr="00752CFF">
        <w:rPr>
          <w:rStyle w:val="normaltextrun"/>
          <w:rFonts w:ascii="Tw Cen MT" w:eastAsia="Tw Cen MT" w:hAnsi="Tw Cen MT" w:cs="Tw Cen MT"/>
          <w:b/>
          <w:bCs/>
          <w:color w:val="4472C4" w:themeColor="accent1"/>
          <w:sz w:val="32"/>
          <w:szCs w:val="32"/>
        </w:rPr>
        <w:t xml:space="preserve"> Challenges. </w:t>
      </w:r>
    </w:p>
    <w:p w14:paraId="1CC6E6F1" w14:textId="7AFE5DDE" w:rsidR="0019474C" w:rsidRPr="00EB096D" w:rsidRDefault="0019474C" w:rsidP="00752CFF">
      <w:pPr>
        <w:pStyle w:val="ListParagraph"/>
        <w:numPr>
          <w:ilvl w:val="0"/>
          <w:numId w:val="1"/>
        </w:numPr>
        <w:rPr>
          <w:rStyle w:val="normaltextrun"/>
          <w:rFonts w:ascii="Tw Cen MT" w:eastAsia="Tw Cen MT" w:hAnsi="Tw Cen MT" w:cs="Tw Cen MT"/>
          <w:color w:val="000000" w:themeColor="text1"/>
        </w:rPr>
      </w:pPr>
      <w:r w:rsidRPr="00EB096D">
        <w:rPr>
          <w:rStyle w:val="normaltextrun"/>
          <w:rFonts w:ascii="Tw Cen MT" w:eastAsia="Tw Cen MT" w:hAnsi="Tw Cen MT" w:cs="Tw Cen MT"/>
          <w:b/>
          <w:bCs/>
          <w:color w:val="000000" w:themeColor="text1"/>
        </w:rPr>
        <w:t>Continuity.</w:t>
      </w:r>
      <w:r w:rsidRPr="00EB096D">
        <w:rPr>
          <w:rStyle w:val="normaltextrun"/>
          <w:rFonts w:ascii="Tw Cen MT" w:eastAsia="Tw Cen MT" w:hAnsi="Tw Cen MT" w:cs="Tw Cen MT"/>
          <w:color w:val="000000" w:themeColor="text1"/>
        </w:rPr>
        <w:t xml:space="preserve"> Maintaining engagement and interest among </w:t>
      </w:r>
      <w:r>
        <w:rPr>
          <w:rStyle w:val="normaltextrun"/>
          <w:rFonts w:ascii="Tw Cen MT" w:eastAsia="Tw Cen MT" w:hAnsi="Tw Cen MT" w:cs="Tw Cen MT"/>
          <w:color w:val="000000" w:themeColor="text1"/>
        </w:rPr>
        <w:t>liaisons</w:t>
      </w:r>
      <w:r w:rsidRPr="00EB096D">
        <w:rPr>
          <w:rStyle w:val="normaltextrun"/>
          <w:rFonts w:ascii="Tw Cen MT" w:eastAsia="Tw Cen MT" w:hAnsi="Tw Cen MT" w:cs="Tw Cen MT"/>
          <w:color w:val="000000" w:themeColor="text1"/>
        </w:rPr>
        <w:t xml:space="preserve"> over time can be challenging, as other priorities may compete for their attention. It is important to consider how to continually add value to the program to keep </w:t>
      </w:r>
      <w:r>
        <w:rPr>
          <w:rStyle w:val="normaltextrun"/>
          <w:rFonts w:ascii="Tw Cen MT" w:eastAsia="Tw Cen MT" w:hAnsi="Tw Cen MT" w:cs="Tw Cen MT"/>
          <w:color w:val="000000" w:themeColor="text1"/>
        </w:rPr>
        <w:t>liaisons</w:t>
      </w:r>
      <w:r w:rsidRPr="00EB096D">
        <w:rPr>
          <w:rStyle w:val="normaltextrun"/>
          <w:rFonts w:ascii="Tw Cen MT" w:eastAsia="Tw Cen MT" w:hAnsi="Tw Cen MT" w:cs="Tw Cen MT"/>
          <w:color w:val="000000" w:themeColor="text1"/>
        </w:rPr>
        <w:t xml:space="preserve"> motivated and involved.</w:t>
      </w:r>
    </w:p>
    <w:p w14:paraId="1596664C" w14:textId="64EBF577" w:rsidR="0019474C" w:rsidRPr="00EB096D" w:rsidRDefault="0019474C" w:rsidP="00752CFF">
      <w:pPr>
        <w:pStyle w:val="ListParagraph"/>
        <w:numPr>
          <w:ilvl w:val="0"/>
          <w:numId w:val="1"/>
        </w:numPr>
        <w:rPr>
          <w:rStyle w:val="normaltextrun"/>
          <w:rFonts w:ascii="Tw Cen MT" w:eastAsia="Tw Cen MT" w:hAnsi="Tw Cen MT" w:cs="Tw Cen MT"/>
          <w:color w:val="000000" w:themeColor="text1"/>
        </w:rPr>
      </w:pPr>
      <w:r w:rsidRPr="00EB096D">
        <w:rPr>
          <w:rStyle w:val="normaltextrun"/>
          <w:rFonts w:ascii="Tw Cen MT" w:eastAsia="Tw Cen MT" w:hAnsi="Tw Cen MT" w:cs="Tw Cen MT"/>
          <w:b/>
          <w:bCs/>
          <w:color w:val="000000" w:themeColor="text1"/>
        </w:rPr>
        <w:t>Intermittency.</w:t>
      </w:r>
      <w:r w:rsidRPr="00EB096D">
        <w:rPr>
          <w:rStyle w:val="normaltextrun"/>
          <w:rFonts w:ascii="Tw Cen MT" w:eastAsia="Tw Cen MT" w:hAnsi="Tw Cen MT" w:cs="Tw Cen MT"/>
          <w:color w:val="000000" w:themeColor="text1"/>
        </w:rPr>
        <w:t xml:space="preserve"> The peak season for </w:t>
      </w:r>
      <w:r>
        <w:rPr>
          <w:rStyle w:val="normaltextrun"/>
          <w:rFonts w:ascii="Tw Cen MT" w:eastAsia="Tw Cen MT" w:hAnsi="Tw Cen MT" w:cs="Tw Cen MT"/>
          <w:color w:val="000000" w:themeColor="text1"/>
        </w:rPr>
        <w:t>community</w:t>
      </w:r>
      <w:r w:rsidRPr="00EB096D">
        <w:rPr>
          <w:rStyle w:val="normaltextrun"/>
          <w:rFonts w:ascii="Tw Cen MT" w:eastAsia="Tw Cen MT" w:hAnsi="Tw Cen MT" w:cs="Tw Cen MT"/>
          <w:color w:val="000000" w:themeColor="text1"/>
        </w:rPr>
        <w:t xml:space="preserve"> activity typically occurs between May and October, which may result in periods of inactivity or reduced engagement during other times of the year. This intermittency can pose a challenge in maintaining momentum and consistency in the program.</w:t>
      </w:r>
    </w:p>
    <w:p w14:paraId="45DF34AC" w14:textId="6F607F22" w:rsidR="0019474C" w:rsidRPr="00EB096D" w:rsidRDefault="0019474C" w:rsidP="00752CFF">
      <w:pPr>
        <w:pStyle w:val="ListParagraph"/>
        <w:numPr>
          <w:ilvl w:val="0"/>
          <w:numId w:val="1"/>
        </w:numPr>
        <w:rPr>
          <w:rStyle w:val="normaltextrun"/>
          <w:rFonts w:ascii="Tw Cen MT" w:eastAsia="Tw Cen MT" w:hAnsi="Tw Cen MT" w:cs="Tw Cen MT"/>
          <w:color w:val="000000" w:themeColor="text1"/>
        </w:rPr>
      </w:pPr>
      <w:r w:rsidRPr="00EB096D">
        <w:rPr>
          <w:rStyle w:val="normaltextrun"/>
          <w:rFonts w:ascii="Tw Cen MT" w:eastAsia="Tw Cen MT" w:hAnsi="Tw Cen MT" w:cs="Tw Cen MT"/>
          <w:b/>
          <w:bCs/>
          <w:color w:val="000000" w:themeColor="text1"/>
        </w:rPr>
        <w:t xml:space="preserve">Language Access. </w:t>
      </w:r>
      <w:r>
        <w:rPr>
          <w:rStyle w:val="normaltextrun"/>
          <w:rFonts w:ascii="Tw Cen MT" w:eastAsia="Tw Cen MT" w:hAnsi="Tw Cen MT" w:cs="Tw Cen MT"/>
          <w:color w:val="000000" w:themeColor="text1"/>
        </w:rPr>
        <w:t>In many programs</w:t>
      </w:r>
      <w:r w:rsidRPr="00EB096D">
        <w:rPr>
          <w:rStyle w:val="normaltextrun"/>
          <w:rFonts w:ascii="Tw Cen MT" w:eastAsia="Tw Cen MT" w:hAnsi="Tw Cen MT" w:cs="Tw Cen MT"/>
          <w:color w:val="000000" w:themeColor="text1"/>
        </w:rPr>
        <w:t xml:space="preserve">, accessing non-English speaking community members is a continued challenge. </w:t>
      </w:r>
      <w:r>
        <w:rPr>
          <w:rStyle w:val="normaltextrun"/>
          <w:rFonts w:ascii="Tw Cen MT" w:eastAsia="Tw Cen MT" w:hAnsi="Tw Cen MT" w:cs="Tw Cen MT"/>
          <w:color w:val="000000" w:themeColor="text1"/>
        </w:rPr>
        <w:t xml:space="preserve">Consider language access needs and target liaison recruitment to multi-lingual </w:t>
      </w:r>
      <w:r w:rsidR="00793B99">
        <w:rPr>
          <w:rStyle w:val="normaltextrun"/>
          <w:rFonts w:ascii="Tw Cen MT" w:eastAsia="Tw Cen MT" w:hAnsi="Tw Cen MT" w:cs="Tw Cen MT"/>
          <w:color w:val="000000" w:themeColor="text1"/>
        </w:rPr>
        <w:t>residents,</w:t>
      </w:r>
      <w:r>
        <w:rPr>
          <w:rStyle w:val="normaltextrun"/>
          <w:rFonts w:ascii="Tw Cen MT" w:eastAsia="Tw Cen MT" w:hAnsi="Tw Cen MT" w:cs="Tw Cen MT"/>
          <w:color w:val="000000" w:themeColor="text1"/>
        </w:rPr>
        <w:t xml:space="preserve"> reserve budget for translation and interpretation. </w:t>
      </w:r>
    </w:p>
    <w:p w14:paraId="1EF473C4" w14:textId="77777777" w:rsidR="0019474C" w:rsidRDefault="0019474C" w:rsidP="00752CFF">
      <w:pPr>
        <w:pStyle w:val="ListParagraph"/>
        <w:numPr>
          <w:ilvl w:val="0"/>
          <w:numId w:val="1"/>
        </w:numPr>
        <w:rPr>
          <w:rStyle w:val="normaltextrun"/>
          <w:rFonts w:ascii="Tw Cen MT" w:eastAsia="Tw Cen MT" w:hAnsi="Tw Cen MT" w:cs="Tw Cen MT"/>
          <w:color w:val="000000" w:themeColor="text1"/>
        </w:rPr>
      </w:pPr>
      <w:r w:rsidRPr="00EB096D">
        <w:rPr>
          <w:rStyle w:val="normaltextrun"/>
          <w:rFonts w:ascii="Tw Cen MT" w:eastAsia="Tw Cen MT" w:hAnsi="Tw Cen MT" w:cs="Tw Cen MT"/>
          <w:b/>
          <w:bCs/>
          <w:color w:val="000000" w:themeColor="text1"/>
        </w:rPr>
        <w:t xml:space="preserve">Logistics of meeting in-person. </w:t>
      </w:r>
      <w:r w:rsidRPr="00EB096D">
        <w:rPr>
          <w:rStyle w:val="normaltextrun"/>
          <w:rFonts w:ascii="Tw Cen MT" w:eastAsia="Tw Cen MT" w:hAnsi="Tw Cen MT" w:cs="Tw Cen MT"/>
          <w:color w:val="000000" w:themeColor="text1"/>
        </w:rPr>
        <w:t xml:space="preserve">Both coordinating a physical space to meet and navigating across diverse schedules and availabilities makes meeting in person a logistical challenge, even though it was noted by most interviewees that in-person meetings are preferred. </w:t>
      </w:r>
    </w:p>
    <w:p w14:paraId="54E2ADE3" w14:textId="77777777" w:rsidR="00752CFF" w:rsidRPr="00752CFF" w:rsidRDefault="00752CFF" w:rsidP="00752CFF">
      <w:pPr>
        <w:rPr>
          <w:rStyle w:val="normaltextrun"/>
          <w:rFonts w:ascii="Tw Cen MT" w:eastAsia="Tw Cen MT" w:hAnsi="Tw Cen MT" w:cs="Tw Cen MT"/>
          <w:color w:val="000000" w:themeColor="text1"/>
        </w:rPr>
      </w:pPr>
    </w:p>
    <w:p w14:paraId="69ABFC3A" w14:textId="77777777" w:rsidR="00CA4694" w:rsidRPr="00752CFF" w:rsidRDefault="00CA4694" w:rsidP="00752CFF">
      <w:pPr>
        <w:rPr>
          <w:rFonts w:ascii="Tw Cen MT" w:eastAsia="Tw Cen MT" w:hAnsi="Tw Cen MT" w:cs="Tw Cen MT"/>
          <w:color w:val="4472C4" w:themeColor="accent1"/>
          <w:sz w:val="32"/>
          <w:szCs w:val="32"/>
        </w:rPr>
      </w:pPr>
      <w:r w:rsidRPr="00752CFF">
        <w:rPr>
          <w:rStyle w:val="normaltextrun"/>
          <w:rFonts w:ascii="Tw Cen MT" w:eastAsia="Tw Cen MT" w:hAnsi="Tw Cen MT" w:cs="Tw Cen MT"/>
          <w:b/>
          <w:bCs/>
          <w:color w:val="4472C4" w:themeColor="accent1"/>
          <w:sz w:val="32"/>
          <w:szCs w:val="32"/>
        </w:rPr>
        <w:t>Training.</w:t>
      </w:r>
      <w:r w:rsidRPr="00752CFF">
        <w:rPr>
          <w:rStyle w:val="normaltextrun"/>
          <w:rFonts w:ascii="Tw Cen MT" w:eastAsia="Tw Cen MT" w:hAnsi="Tw Cen MT" w:cs="Tw Cen MT"/>
          <w:color w:val="4472C4" w:themeColor="accent1"/>
          <w:sz w:val="32"/>
          <w:szCs w:val="32"/>
        </w:rPr>
        <w:t xml:space="preserve"> </w:t>
      </w:r>
    </w:p>
    <w:p w14:paraId="05F82D18" w14:textId="77777777" w:rsidR="00CA4694" w:rsidRPr="00EB096D" w:rsidRDefault="00CA4694" w:rsidP="00752CFF">
      <w:pPr>
        <w:pStyle w:val="ListParagraph"/>
        <w:numPr>
          <w:ilvl w:val="0"/>
          <w:numId w:val="1"/>
        </w:numPr>
        <w:rPr>
          <w:rFonts w:ascii="Tw Cen MT" w:hAnsi="Tw Cen MT"/>
          <w:b/>
          <w:bCs/>
        </w:rPr>
      </w:pPr>
      <w:r w:rsidRPr="00EB096D">
        <w:rPr>
          <w:rFonts w:ascii="Tw Cen MT" w:hAnsi="Tw Cen MT"/>
          <w:b/>
          <w:bCs/>
        </w:rPr>
        <w:t xml:space="preserve">Engaging training: </w:t>
      </w:r>
      <w:r w:rsidRPr="00EB096D">
        <w:rPr>
          <w:rFonts w:ascii="Tw Cen MT" w:hAnsi="Tw Cen MT"/>
        </w:rPr>
        <w:t>It is important to make the training fun and interactive, incorporating guest speakers and activities to keep participants engaged and motivated throughout the training.</w:t>
      </w:r>
    </w:p>
    <w:p w14:paraId="1CE6940A" w14:textId="260E71FE" w:rsidR="00CA4694" w:rsidRPr="00EB096D" w:rsidRDefault="00CA4694" w:rsidP="00752CFF">
      <w:pPr>
        <w:pStyle w:val="ListParagraph"/>
        <w:numPr>
          <w:ilvl w:val="0"/>
          <w:numId w:val="1"/>
        </w:numPr>
        <w:rPr>
          <w:rFonts w:ascii="Tw Cen MT" w:eastAsia="Tw Cen MT" w:hAnsi="Tw Cen MT" w:cs="Tw Cen MT"/>
          <w:color w:val="000000" w:themeColor="text1"/>
        </w:rPr>
      </w:pPr>
      <w:r w:rsidRPr="00EB096D">
        <w:rPr>
          <w:rFonts w:ascii="Tw Cen MT" w:hAnsi="Tw Cen MT"/>
          <w:b/>
          <w:bCs/>
        </w:rPr>
        <w:t>Plain language.</w:t>
      </w:r>
      <w:r w:rsidRPr="00EB096D">
        <w:rPr>
          <w:rFonts w:ascii="Tw Cen MT" w:hAnsi="Tw Cen MT"/>
        </w:rPr>
        <w:t xml:space="preserve"> Us</w:t>
      </w:r>
      <w:r w:rsidR="0019474C">
        <w:rPr>
          <w:rFonts w:ascii="Tw Cen MT" w:hAnsi="Tw Cen MT"/>
        </w:rPr>
        <w:t>e</w:t>
      </w:r>
      <w:r w:rsidRPr="00EB096D">
        <w:rPr>
          <w:rFonts w:ascii="Tw Cen MT" w:hAnsi="Tw Cen MT"/>
        </w:rPr>
        <w:t xml:space="preserve"> plain language with a reading level around 7</w:t>
      </w:r>
      <w:r w:rsidRPr="00EB096D">
        <w:rPr>
          <w:rFonts w:ascii="Tw Cen MT" w:hAnsi="Tw Cen MT"/>
          <w:vertAlign w:val="superscript"/>
        </w:rPr>
        <w:t>th</w:t>
      </w:r>
      <w:r w:rsidRPr="00EB096D">
        <w:rPr>
          <w:rFonts w:ascii="Tw Cen MT" w:hAnsi="Tw Cen MT"/>
        </w:rPr>
        <w:t xml:space="preserve"> grade and paus</w:t>
      </w:r>
      <w:r w:rsidR="0019474C">
        <w:rPr>
          <w:rFonts w:ascii="Tw Cen MT" w:hAnsi="Tw Cen MT"/>
        </w:rPr>
        <w:t>e</w:t>
      </w:r>
      <w:r w:rsidRPr="00EB096D">
        <w:rPr>
          <w:rFonts w:ascii="Tw Cen MT" w:hAnsi="Tw Cen MT"/>
        </w:rPr>
        <w:t xml:space="preserve"> regularly to ensure comprehension</w:t>
      </w:r>
      <w:r w:rsidR="0019474C">
        <w:rPr>
          <w:rFonts w:ascii="Tw Cen MT" w:hAnsi="Tw Cen MT"/>
        </w:rPr>
        <w:t>. This</w:t>
      </w:r>
      <w:r w:rsidRPr="00EB096D">
        <w:rPr>
          <w:rFonts w:ascii="Tw Cen MT" w:hAnsi="Tw Cen MT"/>
        </w:rPr>
        <w:t xml:space="preserve"> can help make the training materials more accessible and understandable to a wide range of participants. </w:t>
      </w:r>
    </w:p>
    <w:p w14:paraId="54C9FE73" w14:textId="61464CFE" w:rsidR="00CA4694" w:rsidRPr="00EB096D" w:rsidRDefault="00CA4694" w:rsidP="00752CFF">
      <w:pPr>
        <w:pStyle w:val="ListParagraph"/>
        <w:numPr>
          <w:ilvl w:val="0"/>
          <w:numId w:val="1"/>
        </w:numPr>
        <w:rPr>
          <w:rFonts w:ascii="Tw Cen MT" w:eastAsia="Tw Cen MT" w:hAnsi="Tw Cen MT" w:cs="Tw Cen MT"/>
          <w:color w:val="000000" w:themeColor="text1"/>
        </w:rPr>
      </w:pPr>
      <w:r w:rsidRPr="00EB096D">
        <w:rPr>
          <w:rFonts w:ascii="Tw Cen MT" w:hAnsi="Tw Cen MT"/>
          <w:b/>
          <w:bCs/>
        </w:rPr>
        <w:t>Build confidence.</w:t>
      </w:r>
      <w:r w:rsidRPr="00EB096D">
        <w:rPr>
          <w:rFonts w:ascii="Tw Cen MT" w:hAnsi="Tw Cen MT"/>
        </w:rPr>
        <w:t xml:space="preserve"> Building the confidence of the </w:t>
      </w:r>
      <w:r w:rsidR="0019474C">
        <w:rPr>
          <w:rFonts w:ascii="Tw Cen MT" w:hAnsi="Tw Cen MT"/>
        </w:rPr>
        <w:t>liaisons</w:t>
      </w:r>
      <w:r w:rsidRPr="00EB096D">
        <w:rPr>
          <w:rFonts w:ascii="Tw Cen MT" w:hAnsi="Tw Cen MT"/>
        </w:rPr>
        <w:t xml:space="preserve"> in new topic areas is important, and having relevant materials on hand can support their learning and help them feel more prepared to engage with the community. </w:t>
      </w:r>
    </w:p>
    <w:p w14:paraId="6433722B" w14:textId="74171D51" w:rsidR="00CA4694" w:rsidRPr="00EB096D" w:rsidRDefault="00CA4694" w:rsidP="00752CFF">
      <w:pPr>
        <w:pStyle w:val="ListParagraph"/>
        <w:numPr>
          <w:ilvl w:val="0"/>
          <w:numId w:val="1"/>
        </w:numPr>
        <w:rPr>
          <w:rFonts w:ascii="Tw Cen MT" w:eastAsia="Tw Cen MT" w:hAnsi="Tw Cen MT" w:cs="Tw Cen MT"/>
          <w:color w:val="000000" w:themeColor="text1"/>
        </w:rPr>
      </w:pPr>
      <w:r w:rsidRPr="00EB096D">
        <w:rPr>
          <w:rFonts w:ascii="Tw Cen MT" w:hAnsi="Tw Cen MT"/>
          <w:b/>
          <w:bCs/>
        </w:rPr>
        <w:t>Flexibility.</w:t>
      </w:r>
      <w:r w:rsidRPr="00EB096D">
        <w:rPr>
          <w:rFonts w:ascii="Tw Cen MT" w:hAnsi="Tw Cen MT"/>
        </w:rPr>
        <w:t xml:space="preserve"> The training curriculum should be flexible to accommodate </w:t>
      </w:r>
      <w:r w:rsidR="0019474C">
        <w:rPr>
          <w:rFonts w:ascii="Tw Cen MT" w:hAnsi="Tw Cen MT"/>
        </w:rPr>
        <w:t>participants’</w:t>
      </w:r>
      <w:r w:rsidRPr="00EB096D">
        <w:rPr>
          <w:rFonts w:ascii="Tw Cen MT" w:hAnsi="Tw Cen MT"/>
        </w:rPr>
        <w:t xml:space="preserve"> emerging interests (e.g., having a core curriculum but also incorporating additional topics as requested to help make the training more relevant and tailored). </w:t>
      </w:r>
    </w:p>
    <w:p w14:paraId="24AFC725" w14:textId="3B0744FE" w:rsidR="00CA4694" w:rsidRPr="00EB096D" w:rsidRDefault="00CA4694" w:rsidP="00752CFF">
      <w:pPr>
        <w:pStyle w:val="ListParagraph"/>
        <w:numPr>
          <w:ilvl w:val="0"/>
          <w:numId w:val="1"/>
        </w:numPr>
        <w:rPr>
          <w:rFonts w:ascii="Tw Cen MT" w:eastAsia="Tw Cen MT" w:hAnsi="Tw Cen MT" w:cs="Tw Cen MT"/>
          <w:color w:val="000000" w:themeColor="text1"/>
        </w:rPr>
      </w:pPr>
      <w:r w:rsidRPr="00EB096D">
        <w:rPr>
          <w:rFonts w:ascii="Tw Cen MT" w:hAnsi="Tw Cen MT"/>
          <w:b/>
          <w:bCs/>
        </w:rPr>
        <w:t>Turnover.</w:t>
      </w:r>
      <w:r w:rsidRPr="00EB096D">
        <w:rPr>
          <w:rFonts w:ascii="Tw Cen MT" w:eastAsia="Tw Cen MT" w:hAnsi="Tw Cen MT" w:cs="Tw Cen MT"/>
          <w:color w:val="000000" w:themeColor="text1"/>
        </w:rPr>
        <w:t xml:space="preserve"> </w:t>
      </w:r>
      <w:r w:rsidR="0019474C">
        <w:rPr>
          <w:rFonts w:ascii="Tw Cen MT" w:eastAsia="Tw Cen MT" w:hAnsi="Tw Cen MT" w:cs="Tw Cen MT"/>
          <w:color w:val="000000" w:themeColor="text1"/>
        </w:rPr>
        <w:t xml:space="preserve">Turnover is inevitable. </w:t>
      </w:r>
      <w:r w:rsidRPr="00EB096D">
        <w:rPr>
          <w:rFonts w:ascii="Tw Cen MT" w:eastAsia="Tw Cen MT" w:hAnsi="Tw Cen MT" w:cs="Tw Cen MT"/>
          <w:color w:val="000000" w:themeColor="text1"/>
        </w:rPr>
        <w:t xml:space="preserve">Design </w:t>
      </w:r>
      <w:r w:rsidR="0019474C">
        <w:rPr>
          <w:rFonts w:ascii="Tw Cen MT" w:eastAsia="Tw Cen MT" w:hAnsi="Tw Cen MT" w:cs="Tw Cen MT"/>
          <w:color w:val="000000" w:themeColor="text1"/>
        </w:rPr>
        <w:t xml:space="preserve">and deliver </w:t>
      </w:r>
      <w:r w:rsidRPr="00EB096D">
        <w:rPr>
          <w:rFonts w:ascii="Tw Cen MT" w:eastAsia="Tw Cen MT" w:hAnsi="Tw Cen MT" w:cs="Tw Cen MT"/>
          <w:color w:val="000000" w:themeColor="text1"/>
        </w:rPr>
        <w:t>training</w:t>
      </w:r>
      <w:r w:rsidR="0019474C">
        <w:rPr>
          <w:rFonts w:ascii="Tw Cen MT" w:eastAsia="Tw Cen MT" w:hAnsi="Tw Cen MT" w:cs="Tw Cen MT"/>
          <w:color w:val="000000" w:themeColor="text1"/>
        </w:rPr>
        <w:t>s</w:t>
      </w:r>
      <w:r w:rsidRPr="00EB096D">
        <w:rPr>
          <w:rFonts w:ascii="Tw Cen MT" w:eastAsia="Tw Cen MT" w:hAnsi="Tw Cen MT" w:cs="Tw Cen MT"/>
          <w:color w:val="000000" w:themeColor="text1"/>
        </w:rPr>
        <w:t xml:space="preserve"> in a way that allows </w:t>
      </w:r>
      <w:r w:rsidR="0019474C">
        <w:rPr>
          <w:rFonts w:ascii="Tw Cen MT" w:eastAsia="Tw Cen MT" w:hAnsi="Tw Cen MT" w:cs="Tw Cen MT"/>
          <w:color w:val="000000" w:themeColor="text1"/>
        </w:rPr>
        <w:t>them</w:t>
      </w:r>
      <w:r w:rsidRPr="00EB096D">
        <w:rPr>
          <w:rFonts w:ascii="Tw Cen MT" w:eastAsia="Tw Cen MT" w:hAnsi="Tw Cen MT" w:cs="Tw Cen MT"/>
          <w:color w:val="000000" w:themeColor="text1"/>
        </w:rPr>
        <w:t xml:space="preserve"> to be readily used multiple times</w:t>
      </w:r>
      <w:r w:rsidR="0019474C">
        <w:rPr>
          <w:rFonts w:ascii="Tw Cen MT" w:eastAsia="Tw Cen MT" w:hAnsi="Tw Cen MT" w:cs="Tw Cen MT"/>
          <w:color w:val="000000" w:themeColor="text1"/>
        </w:rPr>
        <w:t xml:space="preserve"> to</w:t>
      </w:r>
      <w:r w:rsidRPr="00EB096D">
        <w:rPr>
          <w:rFonts w:ascii="Tw Cen MT" w:eastAsia="Tw Cen MT" w:hAnsi="Tw Cen MT" w:cs="Tw Cen MT"/>
          <w:color w:val="000000" w:themeColor="text1"/>
        </w:rPr>
        <w:t xml:space="preserve"> maximize its impact and make it a more efficient and scalable approach to community engagement.</w:t>
      </w:r>
    </w:p>
    <w:p w14:paraId="0677A306" w14:textId="6C9BB5F0" w:rsidR="00CA4694" w:rsidRPr="00EB096D" w:rsidRDefault="00CA4694" w:rsidP="00752CFF">
      <w:pPr>
        <w:pStyle w:val="ListParagraph"/>
        <w:numPr>
          <w:ilvl w:val="0"/>
          <w:numId w:val="1"/>
        </w:numPr>
        <w:rPr>
          <w:rFonts w:ascii="Tw Cen MT" w:eastAsia="Tw Cen MT" w:hAnsi="Tw Cen MT" w:cs="Tw Cen MT"/>
          <w:color w:val="000000" w:themeColor="text1"/>
        </w:rPr>
      </w:pPr>
      <w:r w:rsidRPr="00EB096D">
        <w:rPr>
          <w:rFonts w:ascii="Tw Cen MT" w:hAnsi="Tw Cen MT"/>
          <w:b/>
          <w:bCs/>
        </w:rPr>
        <w:lastRenderedPageBreak/>
        <w:t>EJ.</w:t>
      </w:r>
      <w:r w:rsidRPr="00EB096D">
        <w:rPr>
          <w:rFonts w:ascii="Tw Cen MT" w:hAnsi="Tw Cen MT"/>
        </w:rPr>
        <w:t xml:space="preserve"> Start training</w:t>
      </w:r>
      <w:r w:rsidR="0019474C">
        <w:rPr>
          <w:rFonts w:ascii="Tw Cen MT" w:hAnsi="Tw Cen MT"/>
        </w:rPr>
        <w:t>s</w:t>
      </w:r>
      <w:r w:rsidRPr="00EB096D">
        <w:rPr>
          <w:rFonts w:ascii="Tw Cen MT" w:hAnsi="Tw Cen MT"/>
        </w:rPr>
        <w:t xml:space="preserve"> with specific information </w:t>
      </w:r>
      <w:r w:rsidR="0019474C">
        <w:rPr>
          <w:rFonts w:ascii="Tw Cen MT" w:hAnsi="Tw Cen MT"/>
        </w:rPr>
        <w:t>about your municipality’s</w:t>
      </w:r>
      <w:r w:rsidRPr="00EB096D">
        <w:rPr>
          <w:rFonts w:ascii="Tw Cen MT" w:hAnsi="Tw Cen MT"/>
        </w:rPr>
        <w:t xml:space="preserve"> climate and environmental justice</w:t>
      </w:r>
      <w:r w:rsidR="0019474C">
        <w:rPr>
          <w:rFonts w:ascii="Tw Cen MT" w:hAnsi="Tw Cen MT"/>
        </w:rPr>
        <w:t xml:space="preserve"> landscape. This</w:t>
      </w:r>
      <w:r w:rsidRPr="00EB096D">
        <w:rPr>
          <w:rFonts w:ascii="Tw Cen MT" w:hAnsi="Tw Cen MT"/>
        </w:rPr>
        <w:t xml:space="preserve"> can help set the context </w:t>
      </w:r>
      <w:r w:rsidR="0019474C">
        <w:rPr>
          <w:rFonts w:ascii="Tw Cen MT" w:hAnsi="Tw Cen MT"/>
        </w:rPr>
        <w:t xml:space="preserve">for the program and teaches </w:t>
      </w:r>
      <w:r w:rsidRPr="00EB096D">
        <w:rPr>
          <w:rFonts w:ascii="Tw Cen MT" w:hAnsi="Tw Cen MT"/>
        </w:rPr>
        <w:t>the importance of considering equity and justice issues in climate readiness discussions.</w:t>
      </w:r>
    </w:p>
    <w:p w14:paraId="36B5C2B8" w14:textId="29680367" w:rsidR="00CA4694" w:rsidRPr="00752CFF" w:rsidRDefault="00CA4694" w:rsidP="00752CFF">
      <w:pPr>
        <w:pStyle w:val="ListParagraph"/>
        <w:numPr>
          <w:ilvl w:val="0"/>
          <w:numId w:val="1"/>
        </w:numPr>
        <w:rPr>
          <w:rFonts w:ascii="Tw Cen MT" w:eastAsia="Tw Cen MT" w:hAnsi="Tw Cen MT" w:cs="Tw Cen MT"/>
          <w:color w:val="000000" w:themeColor="text1"/>
        </w:rPr>
      </w:pPr>
      <w:r w:rsidRPr="00EB096D">
        <w:rPr>
          <w:rFonts w:ascii="Tw Cen MT" w:hAnsi="Tw Cen MT"/>
          <w:b/>
          <w:bCs/>
        </w:rPr>
        <w:t xml:space="preserve">Continued Learning. </w:t>
      </w:r>
      <w:r w:rsidRPr="00EB096D">
        <w:rPr>
          <w:rFonts w:ascii="Tw Cen MT" w:hAnsi="Tw Cen MT"/>
        </w:rPr>
        <w:t xml:space="preserve">Provide opportunities for continued learning outside of the trainings, such as inviting </w:t>
      </w:r>
      <w:r w:rsidR="0019474C">
        <w:rPr>
          <w:rFonts w:ascii="Tw Cen MT" w:hAnsi="Tw Cen MT"/>
        </w:rPr>
        <w:t>liaisons to other relevant municipal</w:t>
      </w:r>
      <w:r w:rsidRPr="00EB096D">
        <w:rPr>
          <w:rFonts w:ascii="Tw Cen MT" w:hAnsi="Tw Cen MT"/>
        </w:rPr>
        <w:t xml:space="preserve"> trainings, </w:t>
      </w:r>
      <w:r w:rsidR="0019474C">
        <w:rPr>
          <w:rFonts w:ascii="Tw Cen MT" w:hAnsi="Tw Cen MT"/>
        </w:rPr>
        <w:t xml:space="preserve">sharing </w:t>
      </w:r>
      <w:r w:rsidRPr="00EB096D">
        <w:rPr>
          <w:rFonts w:ascii="Tw Cen MT" w:hAnsi="Tw Cen MT"/>
        </w:rPr>
        <w:t xml:space="preserve">short videos relevant to the training topics, </w:t>
      </w:r>
      <w:r w:rsidR="0019474C">
        <w:rPr>
          <w:rFonts w:ascii="Tw Cen MT" w:hAnsi="Tw Cen MT"/>
        </w:rPr>
        <w:t xml:space="preserve">and </w:t>
      </w:r>
      <w:r w:rsidRPr="00EB096D">
        <w:rPr>
          <w:rFonts w:ascii="Tw Cen MT" w:hAnsi="Tw Cen MT"/>
        </w:rPr>
        <w:t xml:space="preserve">encouraging post-training community meetings, etc. </w:t>
      </w:r>
    </w:p>
    <w:p w14:paraId="313F5183" w14:textId="77777777" w:rsidR="00752CFF" w:rsidRPr="00752CFF" w:rsidRDefault="00752CFF" w:rsidP="00752CFF">
      <w:pPr>
        <w:rPr>
          <w:rStyle w:val="normaltextrun"/>
          <w:rFonts w:ascii="Tw Cen MT" w:eastAsia="Tw Cen MT" w:hAnsi="Tw Cen MT" w:cs="Tw Cen MT"/>
          <w:color w:val="000000" w:themeColor="text1"/>
        </w:rPr>
      </w:pPr>
    </w:p>
    <w:p w14:paraId="75FBE6C1" w14:textId="77777777" w:rsidR="00CA4694" w:rsidRPr="00752CFF" w:rsidRDefault="00CA4694" w:rsidP="00752CFF">
      <w:pPr>
        <w:rPr>
          <w:rStyle w:val="normaltextrun"/>
          <w:rFonts w:ascii="Tw Cen MT" w:eastAsia="Tw Cen MT" w:hAnsi="Tw Cen MT" w:cs="Tw Cen MT"/>
          <w:color w:val="4472C4" w:themeColor="accent1"/>
          <w:sz w:val="32"/>
          <w:szCs w:val="32"/>
        </w:rPr>
      </w:pPr>
      <w:r w:rsidRPr="00752CFF">
        <w:rPr>
          <w:rStyle w:val="normaltextrun"/>
          <w:rFonts w:ascii="Tw Cen MT" w:eastAsia="Tw Cen MT" w:hAnsi="Tw Cen MT" w:cs="Tw Cen MT"/>
          <w:b/>
          <w:bCs/>
          <w:color w:val="4472C4" w:themeColor="accent1"/>
          <w:sz w:val="32"/>
          <w:szCs w:val="32"/>
        </w:rPr>
        <w:t xml:space="preserve">Community Engagement. </w:t>
      </w:r>
    </w:p>
    <w:p w14:paraId="5BD0791E" w14:textId="5B4887DC" w:rsidR="00CA4694" w:rsidRPr="00EB096D" w:rsidRDefault="00CA4694" w:rsidP="00752CFF">
      <w:pPr>
        <w:pStyle w:val="ListParagraph"/>
        <w:numPr>
          <w:ilvl w:val="0"/>
          <w:numId w:val="1"/>
        </w:numPr>
        <w:rPr>
          <w:rFonts w:ascii="Tw Cen MT" w:eastAsia="Tw Cen MT" w:hAnsi="Tw Cen MT" w:cs="Tw Cen MT"/>
          <w:color w:val="000000" w:themeColor="text1"/>
        </w:rPr>
      </w:pPr>
      <w:r w:rsidRPr="00EB096D">
        <w:rPr>
          <w:rFonts w:ascii="Tw Cen MT" w:hAnsi="Tw Cen MT"/>
          <w:b/>
          <w:bCs/>
        </w:rPr>
        <w:t>Personal Connection.</w:t>
      </w:r>
      <w:r w:rsidRPr="00EB096D">
        <w:rPr>
          <w:rFonts w:ascii="Tw Cen MT" w:hAnsi="Tw Cen MT"/>
        </w:rPr>
        <w:t xml:space="preserve"> Tie climate resilience to lived experience</w:t>
      </w:r>
      <w:r w:rsidR="0019474C">
        <w:rPr>
          <w:rFonts w:ascii="Tw Cen MT" w:hAnsi="Tw Cen MT"/>
        </w:rPr>
        <w:t>s and</w:t>
      </w:r>
      <w:r w:rsidRPr="00EB096D">
        <w:rPr>
          <w:rFonts w:ascii="Tw Cen MT" w:hAnsi="Tw Cen MT"/>
        </w:rPr>
        <w:t xml:space="preserve"> guide story telling</w:t>
      </w:r>
      <w:r w:rsidR="0019474C">
        <w:rPr>
          <w:rFonts w:ascii="Tw Cen MT" w:hAnsi="Tw Cen MT"/>
        </w:rPr>
        <w:t xml:space="preserve">. This helps liaisons </w:t>
      </w:r>
      <w:r w:rsidRPr="00EB096D">
        <w:rPr>
          <w:rFonts w:ascii="Tw Cen MT" w:eastAsia="Tw Cen MT" w:hAnsi="Tw Cen MT" w:cs="Tw Cen MT"/>
          <w:color w:val="000000" w:themeColor="text1"/>
        </w:rPr>
        <w:t xml:space="preserve">make the connection between their and their communities’ experience </w:t>
      </w:r>
      <w:r w:rsidR="0019474C">
        <w:rPr>
          <w:rFonts w:ascii="Tw Cen MT" w:eastAsia="Tw Cen MT" w:hAnsi="Tw Cen MT" w:cs="Tw Cen MT"/>
          <w:color w:val="000000" w:themeColor="text1"/>
        </w:rPr>
        <w:t>with</w:t>
      </w:r>
      <w:r w:rsidRPr="00EB096D">
        <w:rPr>
          <w:rFonts w:ascii="Tw Cen MT" w:eastAsia="Tw Cen MT" w:hAnsi="Tw Cen MT" w:cs="Tw Cen MT"/>
          <w:color w:val="000000" w:themeColor="text1"/>
        </w:rPr>
        <w:t xml:space="preserve"> climate change</w:t>
      </w:r>
      <w:r w:rsidRPr="00EB096D">
        <w:rPr>
          <w:rFonts w:ascii="Tw Cen MT" w:hAnsi="Tw Cen MT"/>
        </w:rPr>
        <w:t xml:space="preserve">. By guiding storytelling and facilitating personal connections to the topic, </w:t>
      </w:r>
      <w:r w:rsidR="0019474C">
        <w:rPr>
          <w:rFonts w:ascii="Tw Cen MT" w:hAnsi="Tw Cen MT"/>
        </w:rPr>
        <w:t>liaison</w:t>
      </w:r>
      <w:r w:rsidRPr="00EB096D">
        <w:rPr>
          <w:rFonts w:ascii="Tw Cen MT" w:hAnsi="Tw Cen MT"/>
        </w:rPr>
        <w:t>s can be more relatable and impactful when engaging the community.</w:t>
      </w:r>
    </w:p>
    <w:p w14:paraId="67C3493D" w14:textId="125FE4B9" w:rsidR="00CA4694" w:rsidRPr="00EB096D" w:rsidRDefault="00CA4694" w:rsidP="00752CFF">
      <w:pPr>
        <w:pStyle w:val="ListParagraph"/>
        <w:numPr>
          <w:ilvl w:val="0"/>
          <w:numId w:val="1"/>
        </w:numPr>
        <w:rPr>
          <w:rStyle w:val="normaltextrun"/>
          <w:rFonts w:ascii="Tw Cen MT" w:eastAsia="Tw Cen MT" w:hAnsi="Tw Cen MT" w:cs="Tw Cen MT"/>
          <w:color w:val="000000" w:themeColor="text1"/>
        </w:rPr>
      </w:pPr>
      <w:r w:rsidRPr="00EB096D">
        <w:rPr>
          <w:rFonts w:ascii="Tw Cen MT" w:hAnsi="Tw Cen MT"/>
          <w:b/>
          <w:bCs/>
        </w:rPr>
        <w:t xml:space="preserve">Fun and interactive engagement. </w:t>
      </w:r>
      <w:r w:rsidRPr="00EB096D">
        <w:rPr>
          <w:rFonts w:ascii="Tw Cen MT" w:hAnsi="Tw Cen MT"/>
        </w:rPr>
        <w:t xml:space="preserve">Both the trainings and the </w:t>
      </w:r>
      <w:r w:rsidR="0019474C">
        <w:rPr>
          <w:rFonts w:ascii="Tw Cen MT" w:hAnsi="Tw Cen MT"/>
        </w:rPr>
        <w:t>liaison’s</w:t>
      </w:r>
      <w:r w:rsidRPr="00EB096D">
        <w:rPr>
          <w:rFonts w:ascii="Tw Cen MT" w:hAnsi="Tw Cen MT"/>
        </w:rPr>
        <w:t xml:space="preserve"> community activities should be fun and engaging, incorporating activities, games, and other interactive elements where feasible. </w:t>
      </w:r>
    </w:p>
    <w:p w14:paraId="31197F74" w14:textId="77777777" w:rsidR="0002324A" w:rsidRDefault="0002324A"/>
    <w:sectPr w:rsidR="000232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altName w:val="Calibri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E3651"/>
    <w:multiLevelType w:val="hybridMultilevel"/>
    <w:tmpl w:val="E7100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53E33"/>
    <w:multiLevelType w:val="hybridMultilevel"/>
    <w:tmpl w:val="8FB21EB2"/>
    <w:lvl w:ilvl="0" w:tplc="E7AA0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FE70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CAEC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267D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9C7D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B0BE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8CBB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0F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547C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889816">
    <w:abstractNumId w:val="1"/>
  </w:num>
  <w:num w:numId="2" w16cid:durableId="944267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694"/>
    <w:rsid w:val="0002324A"/>
    <w:rsid w:val="000659C9"/>
    <w:rsid w:val="0019474C"/>
    <w:rsid w:val="00752CFF"/>
    <w:rsid w:val="00793B99"/>
    <w:rsid w:val="008E2B9E"/>
    <w:rsid w:val="00B845FE"/>
    <w:rsid w:val="00C0569F"/>
    <w:rsid w:val="00CA4694"/>
    <w:rsid w:val="00CE538D"/>
    <w:rsid w:val="00DB0BAC"/>
    <w:rsid w:val="00DE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33146"/>
  <w15:chartTrackingRefBased/>
  <w15:docId w15:val="{8A0C3749-1DFC-42C8-9E1B-7D20D87F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694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CA4694"/>
  </w:style>
  <w:style w:type="paragraph" w:styleId="ListParagraph">
    <w:name w:val="List Paragraph"/>
    <w:basedOn w:val="Normal"/>
    <w:uiPriority w:val="34"/>
    <w:qFormat/>
    <w:rsid w:val="00CA4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03A35934378346B171F804E7896BD6" ma:contentTypeVersion="18" ma:contentTypeDescription="Create a new document." ma:contentTypeScope="" ma:versionID="cddf3ddaeee92d60af5912450970c900">
  <xsd:schema xmlns:xsd="http://www.w3.org/2001/XMLSchema" xmlns:xs="http://www.w3.org/2001/XMLSchema" xmlns:p="http://schemas.microsoft.com/office/2006/metadata/properties" xmlns:ns2="a880e4d9-f90f-4d56-b9a4-231c0029059b" xmlns:ns3="1f0b2eb3-61f4-4cdd-82ce-95daa35ba30f" xmlns:ns4="http://schemas.microsoft.com/sharepoint/v4" targetNamespace="http://schemas.microsoft.com/office/2006/metadata/properties" ma:root="true" ma:fieldsID="7a655b22423c0befedde5ff0c9994af8" ns2:_="" ns3:_="" ns4:_="">
    <xsd:import namespace="a880e4d9-f90f-4d56-b9a4-231c0029059b"/>
    <xsd:import namespace="1f0b2eb3-61f4-4cdd-82ce-95daa35ba30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0e4d9-f90f-4d56-b9a4-231c002905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940289e-7c2c-41a1-9630-5237cb6f5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b2eb3-61f4-4cdd-82ce-95daa35ba30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d23876-93ad-4650-9f34-3a272b72d960}" ma:internalName="TaxCatchAll" ma:showField="CatchAllData" ma:web="1f0b2eb3-61f4-4cdd-82ce-95daa35ba3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a880e4d9-f90f-4d56-b9a4-231c0029059b">
      <Terms xmlns="http://schemas.microsoft.com/office/infopath/2007/PartnerControls"/>
    </lcf76f155ced4ddcb4097134ff3c332f>
    <TaxCatchAll xmlns="1f0b2eb3-61f4-4cdd-82ce-95daa35ba30f" xsi:nil="true"/>
  </documentManagement>
</p:properties>
</file>

<file path=customXml/itemProps1.xml><?xml version="1.0" encoding="utf-8"?>
<ds:datastoreItem xmlns:ds="http://schemas.openxmlformats.org/officeDocument/2006/customXml" ds:itemID="{5D30C2BF-F575-4DA0-A62C-776FD79F41F8}"/>
</file>

<file path=customXml/itemProps2.xml><?xml version="1.0" encoding="utf-8"?>
<ds:datastoreItem xmlns:ds="http://schemas.openxmlformats.org/officeDocument/2006/customXml" ds:itemID="{073AFF29-489F-4FA5-92E6-5CCF8737CCD4}"/>
</file>

<file path=customXml/itemProps3.xml><?xml version="1.0" encoding="utf-8"?>
<ds:datastoreItem xmlns:ds="http://schemas.openxmlformats.org/officeDocument/2006/customXml" ds:itemID="{749B427E-5B6E-4B66-8B73-82159A09E6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Nassar, Julia</dc:creator>
  <cp:keywords/>
  <dc:description/>
  <cp:lastModifiedBy>Nassar, Julia</cp:lastModifiedBy>
  <cp:revision>5</cp:revision>
  <dcterms:created xsi:type="dcterms:W3CDTF">2024-01-05T14:52:00Z</dcterms:created>
  <dcterms:modified xsi:type="dcterms:W3CDTF">2024-01-05T19:53:00Z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0x0101006C03A35934378346B171F804E7896BD6</vt:lpwstr>
  </property>
</Properties>
</file>